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51DD" w14:textId="5574B6AD" w:rsidR="00517291" w:rsidRPr="0035034A" w:rsidRDefault="00517291" w:rsidP="00517291">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13906F94" wp14:editId="27152FF9">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4E97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24</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4</w:t>
      </w:r>
      <w:r w:rsidR="0022149F">
        <w:rPr>
          <w:rFonts w:ascii="Arial" w:eastAsia="Dotum" w:hAnsi="Arial" w:cs="Times New Roman"/>
          <w:b/>
          <w:bCs/>
          <w:kern w:val="0"/>
          <w:sz w:val="24"/>
          <w:szCs w:val="18"/>
          <w:lang w:val="en-GB"/>
        </w:rPr>
        <w:t>3393</w:t>
      </w:r>
    </w:p>
    <w:p w14:paraId="4BF14776" w14:textId="20F28977" w:rsidR="00AA3FAE" w:rsidRPr="00AA3FAE" w:rsidRDefault="00517291" w:rsidP="00517291">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F</w:t>
      </w:r>
      <w:r>
        <w:rPr>
          <w:rFonts w:ascii="Arial" w:eastAsia="宋体" w:hAnsi="Arial" w:cs="黑体" w:hint="eastAsia"/>
          <w:b/>
          <w:bCs/>
          <w:noProof/>
          <w:kern w:val="0"/>
          <w:sz w:val="24"/>
        </w:rPr>
        <w:t>uk</w:t>
      </w:r>
      <w:r>
        <w:rPr>
          <w:rFonts w:ascii="Arial" w:eastAsia="宋体" w:hAnsi="Arial" w:cs="黑体"/>
          <w:b/>
          <w:bCs/>
          <w:noProof/>
          <w:kern w:val="0"/>
          <w:sz w:val="24"/>
        </w:rPr>
        <w:t>uoka, Japan, 20</w:t>
      </w:r>
      <w:r>
        <w:rPr>
          <w:rFonts w:ascii="Arial" w:eastAsia="宋体" w:hAnsi="Arial" w:cs="黑体"/>
          <w:b/>
          <w:bCs/>
          <w:noProof/>
          <w:kern w:val="0"/>
          <w:sz w:val="24"/>
          <w:vertAlign w:val="superscript"/>
        </w:rPr>
        <w:t>th</w:t>
      </w:r>
      <w:r>
        <w:rPr>
          <w:rFonts w:ascii="Arial" w:eastAsia="宋体" w:hAnsi="Arial" w:cs="黑体"/>
          <w:b/>
          <w:bCs/>
          <w:noProof/>
          <w:kern w:val="0"/>
          <w:sz w:val="24"/>
        </w:rPr>
        <w:t xml:space="preserve"> </w:t>
      </w:r>
      <w:r w:rsidRPr="00A26D85">
        <w:rPr>
          <w:rFonts w:ascii="Arial" w:eastAsia="宋体" w:hAnsi="Arial" w:cs="黑体"/>
          <w:b/>
          <w:bCs/>
          <w:noProof/>
          <w:kern w:val="0"/>
          <w:sz w:val="24"/>
        </w:rPr>
        <w:t xml:space="preserve">– </w:t>
      </w:r>
      <w:r>
        <w:rPr>
          <w:rFonts w:ascii="Arial" w:eastAsia="宋体" w:hAnsi="Arial" w:cs="黑体"/>
          <w:b/>
          <w:bCs/>
          <w:noProof/>
          <w:kern w:val="0"/>
          <w:sz w:val="24"/>
        </w:rPr>
        <w:t>24</w:t>
      </w:r>
      <w:r w:rsidRPr="0036074B">
        <w:rPr>
          <w:rFonts w:ascii="Arial" w:eastAsia="宋体" w:hAnsi="Arial" w:cs="黑体"/>
          <w:b/>
          <w:bCs/>
          <w:noProof/>
          <w:kern w:val="0"/>
          <w:sz w:val="24"/>
          <w:vertAlign w:val="superscript"/>
        </w:rPr>
        <w:t>th</w:t>
      </w:r>
      <w:r w:rsidRPr="00A26D85">
        <w:rPr>
          <w:rFonts w:ascii="Arial" w:eastAsia="宋体" w:hAnsi="Arial" w:cs="黑体"/>
          <w:b/>
          <w:bCs/>
          <w:noProof/>
          <w:kern w:val="0"/>
          <w:sz w:val="24"/>
        </w:rPr>
        <w:t xml:space="preserve"> </w:t>
      </w:r>
      <w:r>
        <w:rPr>
          <w:rFonts w:ascii="Arial" w:eastAsia="宋体" w:hAnsi="Arial" w:cs="黑体"/>
          <w:b/>
          <w:bCs/>
          <w:noProof/>
          <w:kern w:val="0"/>
          <w:sz w:val="24"/>
        </w:rPr>
        <w:t>May</w:t>
      </w:r>
      <w:r w:rsidRPr="00A26D85">
        <w:rPr>
          <w:rFonts w:ascii="Arial" w:eastAsia="宋体" w:hAnsi="Arial" w:cs="黑体"/>
          <w:b/>
          <w:bCs/>
          <w:noProof/>
          <w:kern w:val="0"/>
          <w:sz w:val="24"/>
        </w:rPr>
        <w:t>, 202</w:t>
      </w:r>
      <w:r>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697C1C47"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D8094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7F9E9360"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C20BB8" w:rsidRPr="00C20BB8">
        <w:rPr>
          <w:rFonts w:ascii="Arial" w:eastAsia="宋体" w:hAnsi="Arial" w:cs="Times New Roman"/>
          <w:b/>
          <w:kern w:val="0"/>
          <w:sz w:val="22"/>
          <w:szCs w:val="20"/>
          <w:lang w:val="en-GB"/>
        </w:rPr>
        <w:t xml:space="preserve">Access control and handover for </w:t>
      </w:r>
      <w:r w:rsidR="000F1C49">
        <w:rPr>
          <w:rFonts w:ascii="Arial" w:eastAsia="宋体" w:hAnsi="Arial" w:cs="Times New Roman"/>
          <w:b/>
          <w:kern w:val="0"/>
          <w:sz w:val="22"/>
          <w:szCs w:val="20"/>
          <w:lang w:val="en-GB"/>
        </w:rPr>
        <w:t xml:space="preserve">NR </w:t>
      </w:r>
      <w:proofErr w:type="spellStart"/>
      <w:r w:rsidR="000F1C49">
        <w:rPr>
          <w:rFonts w:ascii="Arial" w:eastAsia="宋体" w:hAnsi="Arial" w:cs="Times New Roman"/>
          <w:b/>
          <w:kern w:val="0"/>
          <w:sz w:val="22"/>
          <w:szCs w:val="20"/>
          <w:lang w:val="en-GB"/>
        </w:rPr>
        <w:t>Femto</w:t>
      </w:r>
      <w:proofErr w:type="spellEnd"/>
      <w:r w:rsidR="00C20BB8" w:rsidRPr="00C20BB8">
        <w:rPr>
          <w:rFonts w:ascii="Arial" w:eastAsia="宋体" w:hAnsi="Arial" w:cs="Times New Roman"/>
          <w:b/>
          <w:kern w:val="0"/>
          <w:sz w:val="22"/>
          <w:szCs w:val="20"/>
          <w:lang w:val="en-GB"/>
        </w:rPr>
        <w:t xml:space="preserve"> with CAG</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1837587A" w14:textId="75394FFA" w:rsidR="00E510F4" w:rsidRPr="00E510F4" w:rsidRDefault="00E510F4" w:rsidP="00E510F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510F4">
        <w:rPr>
          <w:rFonts w:ascii="Times New Roman" w:eastAsia="宋体" w:hAnsi="Times New Roman" w:cs="Times New Roman"/>
          <w:kern w:val="0"/>
          <w:sz w:val="20"/>
          <w:szCs w:val="20"/>
        </w:rPr>
        <w:t xml:space="preserve">A new SID for additional topological enhancements [1] has been approved to be discussed in Rel-19, and following detail objectives are identified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Pr="00E510F4">
        <w:rPr>
          <w:rFonts w:ascii="Times New Roman" w:eastAsia="宋体" w:hAnsi="Times New Roman" w:cs="Times New Roman"/>
          <w:kern w:val="0"/>
          <w:sz w:val="20"/>
          <w:szCs w:val="20"/>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w:t>
            </w:r>
            <w:proofErr w:type="spellStart"/>
            <w:r w:rsidRPr="00E97D94">
              <w:rPr>
                <w:sz w:val="20"/>
                <w:szCs w:val="20"/>
              </w:rPr>
              <w:t>Femto</w:t>
            </w:r>
            <w:proofErr w:type="spellEnd"/>
            <w:r w:rsidRPr="00E97D94">
              <w:rPr>
                <w:sz w:val="20"/>
                <w:szCs w:val="20"/>
              </w:rPr>
              <w:t xml:space="preserve">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Clarify the access to local services from the 5G </w:t>
            </w:r>
            <w:proofErr w:type="spellStart"/>
            <w:r w:rsidRPr="00E97D94">
              <w:rPr>
                <w:sz w:val="20"/>
                <w:szCs w:val="20"/>
              </w:rPr>
              <w:t>Femto</w:t>
            </w:r>
            <w:proofErr w:type="spellEnd"/>
            <w:r w:rsidRPr="00E97D94">
              <w:rPr>
                <w:sz w:val="20"/>
                <w:szCs w:val="20"/>
              </w:rPr>
              <w:t xml:space="preserve"> via collocated local UPF and identify issues, if any [RAN3].</w:t>
            </w:r>
          </w:p>
          <w:p w14:paraId="7B51FFDA" w14:textId="77777777" w:rsidR="0055499F" w:rsidRPr="00E97D94" w:rsidRDefault="0055499F" w:rsidP="0055499F">
            <w:pPr>
              <w:pStyle w:val="NO"/>
            </w:pPr>
            <w:r w:rsidRPr="00E97D94">
              <w:t xml:space="preserve">NOTE 1: The study involves a gap analysis of existing 5G functionality with </w:t>
            </w:r>
            <w:proofErr w:type="spellStart"/>
            <w:r w:rsidRPr="00E97D94">
              <w:t>HomeNB</w:t>
            </w:r>
            <w:proofErr w:type="spellEnd"/>
            <w:r w:rsidRPr="00E97D94">
              <w:t xml:space="preserve">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w:t>
            </w:r>
            <w:proofErr w:type="gramStart"/>
            <w:r w:rsidRPr="00E97D94">
              <w:t>e.g.</w:t>
            </w:r>
            <w:proofErr w:type="gramEnd"/>
            <w:r w:rsidRPr="00E97D94">
              <w:t xml:space="preserve"> SA2) when needed.</w:t>
            </w:r>
          </w:p>
        </w:tc>
      </w:tr>
    </w:tbl>
    <w:p w14:paraId="62585CDD" w14:textId="45B51600" w:rsidR="006C374D" w:rsidRDefault="006C374D"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nd in RAN3 #123bis meeting</w:t>
      </w:r>
      <w:r w:rsidR="00004FF4">
        <w:rPr>
          <w:rFonts w:ascii="Times New Roman" w:eastAsia="宋体" w:hAnsi="Times New Roman" w:cs="Times New Roman"/>
          <w:kern w:val="0"/>
          <w:sz w:val="20"/>
          <w:szCs w:val="20"/>
        </w:rPr>
        <w:t xml:space="preserve"> [2]</w:t>
      </w:r>
      <w:r>
        <w:rPr>
          <w:rFonts w:ascii="Times New Roman" w:eastAsia="宋体" w:hAnsi="Times New Roman" w:cs="Times New Roman"/>
          <w:kern w:val="0"/>
          <w:sz w:val="20"/>
          <w:szCs w:val="20"/>
        </w:rPr>
        <w:t xml:space="preserve">, following conclusions had been achieved for CAG-based solution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w:t>
      </w:r>
    </w:p>
    <w:tbl>
      <w:tblPr>
        <w:tblW w:w="97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6C374D" w14:paraId="587CB3C2" w14:textId="77777777" w:rsidTr="006C374D">
        <w:trPr>
          <w:trHeight w:val="1359"/>
        </w:trPr>
        <w:tc>
          <w:tcPr>
            <w:tcW w:w="9716" w:type="dxa"/>
          </w:tcPr>
          <w:p w14:paraId="4309097F" w14:textId="77777777" w:rsidR="006C374D" w:rsidRPr="00DD4059" w:rsidRDefault="006C374D" w:rsidP="006C374D">
            <w:pPr>
              <w:rPr>
                <w:rFonts w:ascii="Calibri" w:hAnsi="Calibri" w:cs="Calibri"/>
                <w:b/>
                <w:bCs/>
                <w:color w:val="008000"/>
                <w:sz w:val="18"/>
                <w:szCs w:val="20"/>
              </w:rPr>
            </w:pPr>
            <w:r w:rsidRPr="00DD4059">
              <w:rPr>
                <w:rFonts w:ascii="Calibri" w:hAnsi="Calibri" w:cs="Calibri"/>
                <w:b/>
                <w:bCs/>
                <w:color w:val="008000"/>
                <w:sz w:val="18"/>
                <w:szCs w:val="20"/>
              </w:rPr>
              <w:t xml:space="preserve">Initial access control to a CAG supported by a NR </w:t>
            </w:r>
            <w:proofErr w:type="spellStart"/>
            <w:r w:rsidRPr="00DD4059">
              <w:rPr>
                <w:rFonts w:ascii="Calibri" w:hAnsi="Calibri" w:cs="Calibri"/>
                <w:b/>
                <w:bCs/>
                <w:color w:val="008000"/>
                <w:sz w:val="18"/>
                <w:szCs w:val="20"/>
              </w:rPr>
              <w:t>Femto</w:t>
            </w:r>
            <w:proofErr w:type="spellEnd"/>
            <w:r w:rsidRPr="00DD4059">
              <w:rPr>
                <w:rFonts w:ascii="Calibri" w:hAnsi="Calibri" w:cs="Calibri"/>
                <w:b/>
                <w:bCs/>
                <w:color w:val="008000"/>
                <w:sz w:val="18"/>
                <w:szCs w:val="20"/>
              </w:rPr>
              <w:t xml:space="preserve"> node is performed by the AMF, reusing current PNI-NPN functionality.</w:t>
            </w:r>
          </w:p>
          <w:p w14:paraId="4CBE15D1" w14:textId="77777777" w:rsidR="006C374D" w:rsidRPr="00DD4059" w:rsidRDefault="006C374D" w:rsidP="006C374D">
            <w:pPr>
              <w:rPr>
                <w:rFonts w:ascii="Calibri" w:hAnsi="Calibri" w:cs="Calibri"/>
                <w:b/>
                <w:bCs/>
                <w:color w:val="0000FF"/>
                <w:sz w:val="18"/>
                <w:szCs w:val="20"/>
              </w:rPr>
            </w:pPr>
            <w:r w:rsidRPr="00DD4059">
              <w:rPr>
                <w:rFonts w:ascii="Calibri" w:hAnsi="Calibri" w:cs="Calibri"/>
                <w:b/>
                <w:bCs/>
                <w:color w:val="0000FF"/>
                <w:sz w:val="18"/>
                <w:szCs w:val="20"/>
              </w:rPr>
              <w:t xml:space="preserve">The study should consider applicability of use cases equivalent to those in 4G, </w:t>
            </w:r>
            <w:proofErr w:type="gramStart"/>
            <w:r w:rsidRPr="00DD4059">
              <w:rPr>
                <w:rFonts w:ascii="Calibri" w:hAnsi="Calibri" w:cs="Calibri"/>
                <w:b/>
                <w:bCs/>
                <w:color w:val="0000FF"/>
                <w:sz w:val="18"/>
                <w:szCs w:val="20"/>
              </w:rPr>
              <w:t>i.e.</w:t>
            </w:r>
            <w:proofErr w:type="gramEnd"/>
            <w:r w:rsidRPr="00DD4059">
              <w:rPr>
                <w:rFonts w:ascii="Calibri" w:hAnsi="Calibri" w:cs="Calibri"/>
                <w:b/>
                <w:bCs/>
                <w:color w:val="0000FF"/>
                <w:sz w:val="18"/>
                <w:szCs w:val="20"/>
              </w:rPr>
              <w:t xml:space="preserve"> open mode, closed mode, hybrid mode. Definitions of open mode, closed mode, hybrid mode for the NG-RAN are </w:t>
            </w:r>
            <w:proofErr w:type="gramStart"/>
            <w:r w:rsidRPr="00DD4059">
              <w:rPr>
                <w:rFonts w:ascii="Calibri" w:hAnsi="Calibri" w:cs="Calibri"/>
                <w:b/>
                <w:bCs/>
                <w:color w:val="0000FF"/>
                <w:sz w:val="18"/>
                <w:szCs w:val="20"/>
              </w:rPr>
              <w:t>FFS</w:t>
            </w:r>
            <w:proofErr w:type="gramEnd"/>
          </w:p>
          <w:p w14:paraId="3357D41C" w14:textId="77777777" w:rsidR="006C374D" w:rsidRPr="00DD4059" w:rsidRDefault="006C374D" w:rsidP="006C374D">
            <w:pPr>
              <w:rPr>
                <w:rFonts w:ascii="Calibri" w:hAnsi="Calibri" w:cs="Calibri"/>
                <w:b/>
                <w:bCs/>
                <w:color w:val="008000"/>
                <w:sz w:val="18"/>
                <w:szCs w:val="20"/>
              </w:rPr>
            </w:pPr>
            <w:r w:rsidRPr="00DD4059">
              <w:rPr>
                <w:rFonts w:ascii="Calibri" w:hAnsi="Calibri" w:cs="Calibri"/>
                <w:b/>
                <w:bCs/>
                <w:color w:val="008000"/>
                <w:sz w:val="18"/>
                <w:szCs w:val="20"/>
              </w:rPr>
              <w:t xml:space="preserve">Reusing CAG configurations and mobility functionalities specified for PNI-NPN also for NR </w:t>
            </w:r>
            <w:proofErr w:type="spellStart"/>
            <w:r w:rsidRPr="00DD4059">
              <w:rPr>
                <w:rFonts w:ascii="Calibri" w:hAnsi="Calibri" w:cs="Calibri"/>
                <w:b/>
                <w:bCs/>
                <w:color w:val="008000"/>
                <w:sz w:val="18"/>
                <w:szCs w:val="20"/>
              </w:rPr>
              <w:t>Femto</w:t>
            </w:r>
            <w:proofErr w:type="spellEnd"/>
            <w:r w:rsidRPr="00DD4059">
              <w:rPr>
                <w:rFonts w:ascii="Calibri" w:hAnsi="Calibri" w:cs="Calibri"/>
                <w:b/>
                <w:bCs/>
                <w:color w:val="008000"/>
                <w:sz w:val="18"/>
                <w:szCs w:val="20"/>
              </w:rPr>
              <w:t xml:space="preserve"> nodes deployments. Whether enhancements to legacy CAG functionalities are needed is for further discussion. </w:t>
            </w:r>
          </w:p>
          <w:p w14:paraId="351096FA" w14:textId="33E3DA00" w:rsidR="006C374D" w:rsidRPr="006C374D" w:rsidRDefault="006C374D" w:rsidP="006C374D">
            <w:pPr>
              <w:rPr>
                <w:rFonts w:ascii="Calibri" w:hAnsi="Calibri" w:cs="Calibri"/>
                <w:b/>
                <w:bCs/>
                <w:color w:val="008000"/>
                <w:sz w:val="18"/>
                <w:szCs w:val="20"/>
              </w:rPr>
            </w:pPr>
            <w:r w:rsidRPr="00DD4059">
              <w:rPr>
                <w:rFonts w:ascii="Calibri" w:hAnsi="Calibri" w:cs="Calibri"/>
                <w:b/>
                <w:bCs/>
                <w:color w:val="008000"/>
                <w:sz w:val="18"/>
                <w:szCs w:val="20"/>
              </w:rPr>
              <w:t>No impacts on the UE are in scope of the study.</w:t>
            </w:r>
          </w:p>
        </w:tc>
      </w:tr>
    </w:tbl>
    <w:p w14:paraId="2105DAE3" w14:textId="2E7FB903" w:rsidR="00E97D94" w:rsidRPr="00E97D94" w:rsidRDefault="00E97D94"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97D94">
        <w:rPr>
          <w:rFonts w:ascii="Times New Roman" w:eastAsia="宋体" w:hAnsi="Times New Roman" w:cs="Times New Roman" w:hint="eastAsia"/>
          <w:kern w:val="0"/>
          <w:sz w:val="20"/>
          <w:szCs w:val="20"/>
        </w:rPr>
        <w:t>I</w:t>
      </w:r>
      <w:r w:rsidRPr="00E97D94">
        <w:rPr>
          <w:rFonts w:ascii="Times New Roman" w:eastAsia="宋体" w:hAnsi="Times New Roman" w:cs="Times New Roman"/>
          <w:kern w:val="0"/>
          <w:sz w:val="20"/>
          <w:szCs w:val="20"/>
        </w:rPr>
        <w:t xml:space="preserve">n this contribution, </w:t>
      </w:r>
      <w:r w:rsidR="00882801">
        <w:rPr>
          <w:rFonts w:ascii="Times New Roman" w:eastAsia="宋体" w:hAnsi="Times New Roman" w:cs="Times New Roman"/>
          <w:kern w:val="0"/>
          <w:sz w:val="20"/>
          <w:szCs w:val="20"/>
        </w:rPr>
        <w:t>access control and handover mechanisms</w:t>
      </w:r>
      <w:r w:rsidR="00150863">
        <w:rPr>
          <w:rFonts w:ascii="Times New Roman" w:eastAsia="宋体" w:hAnsi="Times New Roman" w:cs="Times New Roman"/>
          <w:kern w:val="0"/>
          <w:sz w:val="20"/>
          <w:szCs w:val="20"/>
        </w:rPr>
        <w:t xml:space="preserve"> for</w:t>
      </w:r>
      <w:r w:rsidR="00882801">
        <w:rPr>
          <w:rFonts w:ascii="Times New Roman" w:eastAsia="宋体" w:hAnsi="Times New Roman" w:cs="Times New Roman"/>
          <w:kern w:val="0"/>
          <w:sz w:val="20"/>
          <w:szCs w:val="20"/>
        </w:rPr>
        <w:t xml:space="preserve"> the served UEs of the</w:t>
      </w:r>
      <w:r w:rsidR="00150863">
        <w:rPr>
          <w:rFonts w:ascii="Times New Roman" w:eastAsia="宋体" w:hAnsi="Times New Roman" w:cs="Times New Roman"/>
          <w:kern w:val="0"/>
          <w:sz w:val="20"/>
          <w:szCs w:val="20"/>
        </w:rPr>
        <w:t xml:space="preserve">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Pr="00E97D94">
        <w:rPr>
          <w:rFonts w:ascii="Times New Roman" w:eastAsia="宋体" w:hAnsi="Times New Roman" w:cs="Times New Roman"/>
          <w:kern w:val="0"/>
          <w:sz w:val="20"/>
          <w:szCs w:val="20"/>
        </w:rPr>
        <w:t xml:space="preserve"> </w:t>
      </w:r>
      <w:r w:rsidR="00150863">
        <w:rPr>
          <w:rFonts w:ascii="Times New Roman" w:eastAsia="宋体" w:hAnsi="Times New Roman" w:cs="Times New Roman"/>
          <w:kern w:val="0"/>
          <w:sz w:val="20"/>
          <w:szCs w:val="20"/>
        </w:rPr>
        <w:t>are</w:t>
      </w:r>
      <w:r w:rsidRPr="00E97D94">
        <w:rPr>
          <w:rFonts w:ascii="Times New Roman" w:eastAsia="宋体" w:hAnsi="Times New Roman" w:cs="Times New Roman"/>
          <w:kern w:val="0"/>
          <w:sz w:val="20"/>
          <w:szCs w:val="20"/>
        </w:rPr>
        <w:t xml:space="preserve"> discussed.</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6B8E8EC9" w14:textId="77777777" w:rsidR="00EB388A" w:rsidRPr="00EB388A" w:rsidRDefault="00EB388A" w:rsidP="00EB388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3" w:name="OLE_LINK8"/>
      <w:r w:rsidRPr="00EB388A">
        <w:rPr>
          <w:rFonts w:ascii="Times New Roman" w:eastAsia="宋体" w:hAnsi="Times New Roman" w:cs="Times New Roman" w:hint="eastAsia"/>
          <w:kern w:val="0"/>
          <w:sz w:val="20"/>
          <w:szCs w:val="20"/>
        </w:rPr>
        <w:t>A</w:t>
      </w:r>
      <w:r w:rsidRPr="00EB388A">
        <w:rPr>
          <w:rFonts w:ascii="Times New Roman" w:eastAsia="宋体" w:hAnsi="Times New Roman" w:cs="Times New Roman"/>
          <w:kern w:val="0"/>
          <w:sz w:val="20"/>
          <w:szCs w:val="20"/>
        </w:rPr>
        <w:t xml:space="preserve">s the definition for CAG, it’s a Closed Access Group identifies a group of subscribers who are permitted to access one or more CAG cells associated to the CAG. CAG is originally introduced for the PNI-NPNs, which to prevent UE, which are not allowed to access the NPN via the associated cells, from automatically selecting and accessing the associated CAG cells. </w:t>
      </w:r>
    </w:p>
    <w:p w14:paraId="624F988F" w14:textId="02585929" w:rsidR="009B1EA3" w:rsidRDefault="00C33490"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HeNB, </w:t>
      </w:r>
      <w:r w:rsidR="00E32A84" w:rsidRPr="00E32A84">
        <w:rPr>
          <w:rFonts w:ascii="Times New Roman" w:eastAsia="宋体" w:hAnsi="Times New Roman" w:cs="Times New Roman"/>
          <w:kern w:val="0"/>
          <w:sz w:val="20"/>
          <w:szCs w:val="20"/>
        </w:rPr>
        <w:t>CSG identifies a group of subscribers who are permitted/allowed to access one or more CSG cells of the PLMN identified by CSG ID(s)</w:t>
      </w:r>
      <w:r w:rsidR="00E32A84">
        <w:rPr>
          <w:rFonts w:ascii="Times New Roman" w:eastAsia="宋体" w:hAnsi="Times New Roman" w:cs="Times New Roman"/>
          <w:kern w:val="0"/>
          <w:sz w:val="20"/>
          <w:szCs w:val="20"/>
        </w:rPr>
        <w:t xml:space="preserve">, and </w:t>
      </w:r>
      <w:r w:rsidR="007B6D38">
        <w:rPr>
          <w:rFonts w:ascii="Times New Roman" w:eastAsia="宋体" w:hAnsi="Times New Roman" w:cs="Times New Roman"/>
          <w:kern w:val="0"/>
          <w:sz w:val="20"/>
          <w:szCs w:val="20"/>
        </w:rPr>
        <w:t>three access modes have been defined for the UE access control [</w:t>
      </w:r>
      <w:r w:rsidR="0020521A">
        <w:rPr>
          <w:rFonts w:ascii="Times New Roman" w:eastAsia="宋体" w:hAnsi="Times New Roman" w:cs="Times New Roman"/>
          <w:kern w:val="0"/>
          <w:sz w:val="20"/>
          <w:szCs w:val="20"/>
        </w:rPr>
        <w:t>3</w:t>
      </w:r>
      <w:r w:rsidR="007B6D38">
        <w:rPr>
          <w:rFonts w:ascii="Times New Roman" w:eastAsia="宋体" w:hAnsi="Times New Roman" w:cs="Times New Roman"/>
          <w:kern w:val="0"/>
          <w:sz w:val="20"/>
          <w:szCs w:val="20"/>
        </w:rPr>
        <w:t>]</w:t>
      </w:r>
      <w:r w:rsidR="0043340A">
        <w:rPr>
          <w:rFonts w:ascii="Times New Roman" w:eastAsia="宋体" w:hAnsi="Times New Roman" w:cs="Times New Roman"/>
          <w:kern w:val="0"/>
          <w:sz w:val="20"/>
          <w:szCs w:val="20"/>
        </w:rPr>
        <w:t xml:space="preserve"> by using the CSG </w:t>
      </w:r>
      <w:r w:rsidR="00BA07A8">
        <w:rPr>
          <w:rFonts w:ascii="Times New Roman" w:eastAsia="宋体" w:hAnsi="Times New Roman" w:cs="Times New Roman"/>
          <w:kern w:val="0"/>
          <w:sz w:val="20"/>
          <w:szCs w:val="20"/>
        </w:rPr>
        <w:t>mechanisms</w:t>
      </w:r>
      <w:r w:rsidR="00880BB8">
        <w:rPr>
          <w:rFonts w:ascii="Times New Roman" w:eastAsia="宋体" w:hAnsi="Times New Roman" w:cs="Times New Roman"/>
          <w:kern w:val="0"/>
          <w:sz w:val="20"/>
          <w:szCs w:val="20"/>
        </w:rPr>
        <w:t>.</w:t>
      </w:r>
      <w:r w:rsidR="00946729">
        <w:rPr>
          <w:rFonts w:ascii="Times New Roman" w:eastAsia="宋体" w:hAnsi="Times New Roman" w:cs="Times New Roman"/>
          <w:kern w:val="0"/>
          <w:sz w:val="20"/>
          <w:szCs w:val="20"/>
        </w:rPr>
        <w:t xml:space="preserve"> </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8E3E84" w14:paraId="217B9196" w14:textId="77777777" w:rsidTr="00E61EB4">
        <w:trPr>
          <w:trHeight w:val="552"/>
        </w:trPr>
        <w:tc>
          <w:tcPr>
            <w:tcW w:w="9610" w:type="dxa"/>
          </w:tcPr>
          <w:p w14:paraId="6AB8E3FF" w14:textId="77777777" w:rsidR="00F97671" w:rsidRDefault="00F97671" w:rsidP="008E3E84">
            <w:pPr>
              <w:widowControl/>
              <w:spacing w:after="180"/>
              <w:ind w:left="-6"/>
              <w:jc w:val="left"/>
              <w:rPr>
                <w:rFonts w:ascii="Times New Roman" w:hAnsi="Times New Roman" w:cs="Times New Roman"/>
                <w:kern w:val="0"/>
                <w:sz w:val="20"/>
                <w:szCs w:val="20"/>
                <w:lang w:val="en-GB" w:eastAsia="en-US"/>
              </w:rPr>
            </w:pPr>
            <w:r w:rsidRPr="00F6118B">
              <w:rPr>
                <w:rFonts w:ascii="Times New Roman" w:hAnsi="Times New Roman" w:cs="Times New Roman"/>
                <w:b/>
                <w:kern w:val="0"/>
                <w:sz w:val="20"/>
                <w:szCs w:val="20"/>
                <w:lang w:val="en-GB" w:eastAsia="en-US"/>
              </w:rPr>
              <w:t>Open access mode:</w:t>
            </w:r>
            <w:r w:rsidRPr="00F6118B">
              <w:rPr>
                <w:rFonts w:ascii="Times New Roman" w:hAnsi="Times New Roman" w:cs="Times New Roman"/>
                <w:kern w:val="0"/>
                <w:sz w:val="20"/>
                <w:szCs w:val="20"/>
                <w:lang w:val="en-GB" w:eastAsia="en-US"/>
              </w:rPr>
              <w:t xml:space="preserve"> </w:t>
            </w:r>
            <w:r w:rsidRPr="00F6118B">
              <w:rPr>
                <w:rFonts w:ascii="Times New Roman" w:hAnsi="Times New Roman" w:cs="Times New Roman"/>
                <w:noProof/>
                <w:kern w:val="0"/>
                <w:sz w:val="20"/>
                <w:szCs w:val="20"/>
                <w:lang w:val="en-GB" w:eastAsia="en-US"/>
              </w:rPr>
              <w:t>HNB/HeNB</w:t>
            </w:r>
            <w:r w:rsidRPr="00F6118B">
              <w:rPr>
                <w:rFonts w:ascii="Times New Roman" w:hAnsi="Times New Roman" w:cs="Times New Roman"/>
                <w:kern w:val="0"/>
                <w:sz w:val="20"/>
                <w:szCs w:val="20"/>
                <w:lang w:val="en-GB" w:eastAsia="en-US"/>
              </w:rPr>
              <w:t xml:space="preserve"> operates as a normal cell, </w:t>
            </w:r>
            <w:proofErr w:type="gramStart"/>
            <w:r w:rsidRPr="00F6118B">
              <w:rPr>
                <w:rFonts w:ascii="Times New Roman" w:hAnsi="Times New Roman" w:cs="Times New Roman"/>
                <w:kern w:val="0"/>
                <w:sz w:val="20"/>
                <w:szCs w:val="20"/>
                <w:lang w:val="en-GB" w:eastAsia="en-US"/>
              </w:rPr>
              <w:t>i.e.</w:t>
            </w:r>
            <w:proofErr w:type="gramEnd"/>
            <w:r w:rsidRPr="00F6118B">
              <w:rPr>
                <w:rFonts w:ascii="Times New Roman" w:hAnsi="Times New Roman" w:cs="Times New Roman"/>
                <w:kern w:val="0"/>
                <w:sz w:val="20"/>
                <w:szCs w:val="20"/>
                <w:lang w:val="en-GB" w:eastAsia="en-US"/>
              </w:rPr>
              <w:t xml:space="preserve"> non-CSG cell.</w:t>
            </w:r>
          </w:p>
          <w:p w14:paraId="0EE66D00" w14:textId="77553A3E" w:rsidR="00E61EB4" w:rsidRPr="00E61EB4" w:rsidRDefault="008E3E84" w:rsidP="00E61EB4">
            <w:pPr>
              <w:widowControl/>
              <w:spacing w:after="180"/>
              <w:ind w:left="-6"/>
              <w:jc w:val="left"/>
              <w:rPr>
                <w:rFonts w:ascii="Times New Roman" w:hAnsi="Times New Roman" w:cs="Times New Roman"/>
                <w:bCs/>
                <w:kern w:val="0"/>
                <w:sz w:val="20"/>
                <w:szCs w:val="20"/>
                <w:lang w:val="en-GB" w:eastAsia="en-US"/>
              </w:rPr>
            </w:pPr>
            <w:r w:rsidRPr="00F6118B">
              <w:rPr>
                <w:rFonts w:ascii="Times New Roman" w:hAnsi="Times New Roman" w:cs="Times New Roman"/>
                <w:b/>
                <w:kern w:val="0"/>
                <w:sz w:val="20"/>
                <w:szCs w:val="20"/>
                <w:lang w:val="en-GB" w:eastAsia="en-US"/>
              </w:rPr>
              <w:t xml:space="preserve">Closed access mode: </w:t>
            </w:r>
            <w:r w:rsidRPr="00F6118B">
              <w:rPr>
                <w:rFonts w:ascii="Times New Roman" w:hAnsi="Times New Roman" w:cs="Times New Roman"/>
                <w:bCs/>
                <w:kern w:val="0"/>
                <w:sz w:val="20"/>
                <w:szCs w:val="20"/>
                <w:lang w:val="en-GB" w:eastAsia="en-US"/>
              </w:rPr>
              <w:t>HNB/HeNB operates as a CSG cell.</w:t>
            </w:r>
          </w:p>
          <w:p w14:paraId="1A5A9E67" w14:textId="31E3EEE9" w:rsidR="00E61EB4" w:rsidRPr="0064167F" w:rsidRDefault="008E3E84" w:rsidP="0064167F">
            <w:pPr>
              <w:widowControl/>
              <w:spacing w:after="180"/>
              <w:ind w:left="-6"/>
              <w:jc w:val="left"/>
              <w:rPr>
                <w:rFonts w:ascii="Times New Roman" w:hAnsi="Times New Roman" w:cs="Times New Roman"/>
                <w:kern w:val="0"/>
                <w:sz w:val="20"/>
                <w:szCs w:val="20"/>
                <w:lang w:val="en-GB" w:eastAsia="en-US"/>
              </w:rPr>
            </w:pPr>
            <w:r w:rsidRPr="00F6118B">
              <w:rPr>
                <w:rFonts w:ascii="Times New Roman" w:hAnsi="Times New Roman" w:cs="Times New Roman"/>
                <w:b/>
                <w:kern w:val="0"/>
                <w:sz w:val="20"/>
                <w:szCs w:val="20"/>
                <w:lang w:val="en-GB" w:eastAsia="en-US"/>
              </w:rPr>
              <w:t>Hybrid access mode:</w:t>
            </w:r>
            <w:r w:rsidRPr="00F6118B">
              <w:rPr>
                <w:rFonts w:ascii="Times New Roman" w:hAnsi="Times New Roman" w:cs="Times New Roman"/>
                <w:kern w:val="0"/>
                <w:sz w:val="20"/>
                <w:szCs w:val="20"/>
                <w:lang w:val="en-GB" w:eastAsia="en-US"/>
              </w:rPr>
              <w:t xml:space="preserve"> </w:t>
            </w:r>
            <w:r w:rsidRPr="00F6118B">
              <w:rPr>
                <w:rFonts w:ascii="Times New Roman" w:hAnsi="Times New Roman" w:cs="Times New Roman"/>
                <w:noProof/>
                <w:kern w:val="0"/>
                <w:sz w:val="20"/>
                <w:szCs w:val="20"/>
                <w:lang w:val="en-GB" w:eastAsia="en-US"/>
              </w:rPr>
              <w:t>HNB/HeNB</w:t>
            </w:r>
            <w:r w:rsidRPr="00F6118B">
              <w:rPr>
                <w:rFonts w:ascii="Times New Roman" w:hAnsi="Times New Roman" w:cs="Times New Roman"/>
                <w:kern w:val="0"/>
                <w:sz w:val="20"/>
                <w:szCs w:val="20"/>
                <w:lang w:val="en-GB" w:eastAsia="en-US"/>
              </w:rPr>
              <w:t xml:space="preserve"> operates as a CSG cell where at the same time, non-CSG members are allowed access.</w:t>
            </w:r>
          </w:p>
        </w:tc>
      </w:tr>
    </w:tbl>
    <w:p w14:paraId="3D97328B" w14:textId="6C7AE572" w:rsidR="0064167F" w:rsidRDefault="0064167F"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In addition, the difference between a CSG cell and a Hybrid cell is the true/false value of the CSG indicator.</w:t>
      </w:r>
    </w:p>
    <w:p w14:paraId="1051394A" w14:textId="77777777" w:rsidR="0064167F" w:rsidRPr="0064167F" w:rsidRDefault="0064167F" w:rsidP="0064167F">
      <w:pPr>
        <w:pStyle w:val="ac"/>
        <w:widowControl/>
        <w:numPr>
          <w:ilvl w:val="0"/>
          <w:numId w:val="14"/>
        </w:numPr>
        <w:overflowPunct w:val="0"/>
        <w:autoSpaceDE w:val="0"/>
        <w:autoSpaceDN w:val="0"/>
        <w:adjustRightInd w:val="0"/>
        <w:spacing w:after="180"/>
        <w:ind w:firstLineChars="0"/>
        <w:jc w:val="left"/>
        <w:rPr>
          <w:rFonts w:ascii="Times New Roman" w:eastAsia="Times New Roman" w:hAnsi="Times New Roman" w:cs="Times New Roman"/>
          <w:kern w:val="0"/>
          <w:sz w:val="20"/>
          <w:szCs w:val="20"/>
          <w:lang w:val="en-GB" w:eastAsia="ja-JP"/>
        </w:rPr>
      </w:pPr>
      <w:r w:rsidRPr="0064167F">
        <w:rPr>
          <w:rFonts w:ascii="Times New Roman" w:eastAsia="Times New Roman" w:hAnsi="Times New Roman" w:cs="Times New Roman"/>
          <w:b/>
          <w:kern w:val="0"/>
          <w:sz w:val="20"/>
          <w:szCs w:val="20"/>
          <w:lang w:val="en-GB" w:eastAsia="ja-JP"/>
        </w:rPr>
        <w:t>CSG Cell:</w:t>
      </w:r>
      <w:r w:rsidRPr="0064167F">
        <w:rPr>
          <w:rFonts w:ascii="Times New Roman" w:eastAsia="Times New Roman" w:hAnsi="Times New Roman" w:cs="Times New Roman"/>
          <w:kern w:val="0"/>
          <w:sz w:val="20"/>
          <w:szCs w:val="20"/>
          <w:lang w:val="en-GB" w:eastAsia="ja-JP"/>
        </w:rPr>
        <w:t xml:space="preserve"> a cell broadcasting a CSG indicator set to true and a specific CSG identity.</w:t>
      </w:r>
    </w:p>
    <w:p w14:paraId="2C4C4957" w14:textId="170F7ACA" w:rsidR="0064167F" w:rsidRPr="0064167F" w:rsidRDefault="0064167F" w:rsidP="0064167F">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64167F">
        <w:rPr>
          <w:rFonts w:ascii="Times New Roman" w:eastAsia="Times New Roman" w:hAnsi="Times New Roman" w:cs="Times New Roman"/>
          <w:b/>
          <w:kern w:val="0"/>
          <w:sz w:val="20"/>
          <w:szCs w:val="20"/>
          <w:lang w:val="en-GB" w:eastAsia="ja-JP"/>
        </w:rPr>
        <w:t>Hybrid cell</w:t>
      </w:r>
      <w:r w:rsidRPr="0064167F">
        <w:rPr>
          <w:rFonts w:ascii="Times New Roman" w:eastAsia="Times New Roman" w:hAnsi="Times New Roman" w:cs="Times New Roman"/>
          <w:kern w:val="0"/>
          <w:sz w:val="20"/>
          <w:szCs w:val="20"/>
          <w:lang w:val="en-GB" w:eastAsia="ja-JP"/>
        </w:rPr>
        <w:t>: a cell broadcasting a CSG indicator set to false and a specific CSG identity. This cell is accessible as a CSG cell by UEs which are members of the CSG and as a normal cell by all other UEs.</w:t>
      </w:r>
    </w:p>
    <w:p w14:paraId="6A73025D" w14:textId="51B59162" w:rsidR="00F51AE1" w:rsidRDefault="00EB388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Similarly, </w:t>
      </w:r>
      <w:r w:rsidR="00F51AE1">
        <w:rPr>
          <w:rFonts w:ascii="Times New Roman" w:eastAsia="宋体" w:hAnsi="Times New Roman" w:cs="Times New Roman"/>
          <w:kern w:val="0"/>
          <w:sz w:val="20"/>
          <w:szCs w:val="20"/>
        </w:rPr>
        <w:t xml:space="preserve">in NR, CAG cell and non-CAG cell had been defined for a </w:t>
      </w:r>
      <w:r w:rsidR="00F51AE1" w:rsidRPr="00F51AE1">
        <w:rPr>
          <w:rFonts w:ascii="Times New Roman" w:eastAsia="宋体" w:hAnsi="Times New Roman" w:cs="Times New Roman"/>
          <w:kern w:val="0"/>
          <w:sz w:val="20"/>
          <w:szCs w:val="20"/>
        </w:rPr>
        <w:t>PLMN cell broadcasting at least one Closed Access Group identity</w:t>
      </w:r>
      <w:r w:rsidR="00F51AE1">
        <w:rPr>
          <w:rFonts w:ascii="Times New Roman" w:eastAsia="宋体" w:hAnsi="Times New Roman" w:cs="Times New Roman"/>
          <w:kern w:val="0"/>
          <w:sz w:val="20"/>
          <w:szCs w:val="20"/>
        </w:rPr>
        <w:t xml:space="preserve"> and </w:t>
      </w:r>
      <w:r w:rsidR="00F51AE1" w:rsidRPr="00F51AE1">
        <w:rPr>
          <w:rFonts w:ascii="Times New Roman" w:eastAsia="宋体" w:hAnsi="Times New Roman" w:cs="Times New Roman"/>
          <w:kern w:val="0"/>
          <w:sz w:val="20"/>
          <w:szCs w:val="20"/>
        </w:rPr>
        <w:t>a PLMN cell which does not broadcast any Closed Access Group identity</w:t>
      </w:r>
      <w:r w:rsidR="00F51AE1">
        <w:rPr>
          <w:rFonts w:ascii="Times New Roman" w:eastAsia="宋体" w:hAnsi="Times New Roman" w:cs="Times New Roman"/>
          <w:kern w:val="0"/>
          <w:sz w:val="20"/>
          <w:szCs w:val="20"/>
        </w:rPr>
        <w:t xml:space="preserve"> respectively.</w:t>
      </w:r>
    </w:p>
    <w:p w14:paraId="510EBDFA" w14:textId="482CA12B" w:rsidR="003A2E07" w:rsidRDefault="00355DD7"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As already agreed in last meeting,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w:t>
      </w:r>
      <w:r w:rsidRPr="00355DD7">
        <w:rPr>
          <w:rFonts w:ascii="Times New Roman" w:eastAsia="宋体" w:hAnsi="Times New Roman" w:cs="Times New Roman"/>
          <w:kern w:val="0"/>
          <w:sz w:val="20"/>
          <w:szCs w:val="20"/>
        </w:rPr>
        <w:t>reus</w:t>
      </w:r>
      <w:r>
        <w:rPr>
          <w:rFonts w:ascii="Times New Roman" w:eastAsia="宋体" w:hAnsi="Times New Roman" w:cs="Times New Roman"/>
          <w:kern w:val="0"/>
          <w:sz w:val="20"/>
          <w:szCs w:val="20"/>
        </w:rPr>
        <w:t>es</w:t>
      </w:r>
      <w:r w:rsidRPr="00355DD7">
        <w:rPr>
          <w:rFonts w:ascii="Times New Roman" w:eastAsia="宋体" w:hAnsi="Times New Roman" w:cs="Times New Roman"/>
          <w:kern w:val="0"/>
          <w:sz w:val="20"/>
          <w:szCs w:val="20"/>
        </w:rPr>
        <w:t xml:space="preserve"> the legacy CAG mechanism for access control</w:t>
      </w:r>
      <w:r w:rsidR="00744083">
        <w:rPr>
          <w:rFonts w:ascii="Times New Roman" w:eastAsia="宋体" w:hAnsi="Times New Roman" w:cs="Times New Roman"/>
          <w:kern w:val="0"/>
          <w:sz w:val="20"/>
          <w:szCs w:val="20"/>
        </w:rPr>
        <w:t xml:space="preserve">. </w:t>
      </w:r>
      <w:r w:rsidR="007C796E">
        <w:rPr>
          <w:rFonts w:ascii="Times New Roman" w:eastAsia="宋体" w:hAnsi="Times New Roman" w:cs="Times New Roman"/>
          <w:kern w:val="0"/>
          <w:sz w:val="20"/>
          <w:szCs w:val="20"/>
        </w:rPr>
        <w:t xml:space="preserve">Then, the same modes </w:t>
      </w:r>
      <w:r w:rsidR="00170CC1">
        <w:rPr>
          <w:rFonts w:ascii="Times New Roman" w:eastAsia="宋体" w:hAnsi="Times New Roman" w:cs="Times New Roman"/>
          <w:kern w:val="0"/>
          <w:sz w:val="20"/>
          <w:szCs w:val="20"/>
        </w:rPr>
        <w:t>may</w:t>
      </w:r>
      <w:r w:rsidR="007C796E">
        <w:rPr>
          <w:rFonts w:ascii="Times New Roman" w:eastAsia="宋体" w:hAnsi="Times New Roman" w:cs="Times New Roman"/>
          <w:kern w:val="0"/>
          <w:sz w:val="20"/>
          <w:szCs w:val="20"/>
        </w:rPr>
        <w:t xml:space="preserve"> be introduced for the served UEs by using CAG mechanism.</w:t>
      </w:r>
      <w:r w:rsidR="00B8705B">
        <w:rPr>
          <w:rFonts w:ascii="Times New Roman" w:eastAsia="宋体" w:hAnsi="Times New Roman" w:cs="Times New Roman"/>
          <w:kern w:val="0"/>
          <w:sz w:val="20"/>
          <w:szCs w:val="20"/>
        </w:rPr>
        <w:t xml:space="preserve"> Where </w:t>
      </w:r>
      <w:r w:rsidR="00B8705B">
        <w:rPr>
          <w:rFonts w:ascii="Times New Roman" w:eastAsia="宋体" w:hAnsi="Times New Roman" w:cs="Times New Roman"/>
          <w:kern w:val="0"/>
          <w:sz w:val="20"/>
          <w:szCs w:val="20"/>
          <w:lang w:val="en-GB"/>
        </w:rPr>
        <w:t>a</w:t>
      </w:r>
      <w:r w:rsidR="00B8705B" w:rsidRPr="00B8705B">
        <w:rPr>
          <w:rFonts w:ascii="Times New Roman" w:eastAsia="宋体" w:hAnsi="Times New Roman" w:cs="Times New Roman"/>
          <w:kern w:val="0"/>
          <w:sz w:val="20"/>
          <w:szCs w:val="20"/>
          <w:lang w:val="en-GB"/>
        </w:rPr>
        <w:t>ll UEs can access via an open cell. The network does not perform C</w:t>
      </w:r>
      <w:r w:rsidR="00B8705B">
        <w:rPr>
          <w:rFonts w:ascii="Times New Roman" w:eastAsia="宋体" w:hAnsi="Times New Roman" w:cs="Times New Roman"/>
          <w:kern w:val="0"/>
          <w:sz w:val="20"/>
          <w:szCs w:val="20"/>
          <w:lang w:val="en-GB"/>
        </w:rPr>
        <w:t>A</w:t>
      </w:r>
      <w:r w:rsidR="00B8705B" w:rsidRPr="00B8705B">
        <w:rPr>
          <w:rFonts w:ascii="Times New Roman" w:eastAsia="宋体" w:hAnsi="Times New Roman" w:cs="Times New Roman"/>
          <w:kern w:val="0"/>
          <w:sz w:val="20"/>
          <w:szCs w:val="20"/>
          <w:lang w:val="en-GB"/>
        </w:rPr>
        <w:t xml:space="preserve">G access control for the UEs accessing open cell of </w:t>
      </w:r>
      <w:r w:rsidR="000F1C49">
        <w:rPr>
          <w:rFonts w:ascii="Times New Roman" w:eastAsia="宋体" w:hAnsi="Times New Roman" w:cs="Times New Roman"/>
          <w:kern w:val="0"/>
          <w:sz w:val="20"/>
          <w:szCs w:val="20"/>
          <w:lang w:val="en-GB"/>
        </w:rPr>
        <w:t xml:space="preserve">NR </w:t>
      </w:r>
      <w:proofErr w:type="spellStart"/>
      <w:r w:rsidR="000F1C49">
        <w:rPr>
          <w:rFonts w:ascii="Times New Roman" w:eastAsia="宋体" w:hAnsi="Times New Roman" w:cs="Times New Roman"/>
          <w:kern w:val="0"/>
          <w:sz w:val="20"/>
          <w:szCs w:val="20"/>
          <w:lang w:val="en-GB"/>
        </w:rPr>
        <w:t>Femto</w:t>
      </w:r>
      <w:proofErr w:type="spellEnd"/>
      <w:r w:rsidR="00BE5B79">
        <w:rPr>
          <w:rFonts w:ascii="Times New Roman" w:eastAsia="宋体" w:hAnsi="Times New Roman" w:cs="Times New Roman"/>
          <w:kern w:val="0"/>
          <w:sz w:val="20"/>
          <w:szCs w:val="20"/>
          <w:lang w:val="en-GB"/>
        </w:rPr>
        <w:t xml:space="preserve">, which can be realized by the </w:t>
      </w:r>
      <w:proofErr w:type="gramStart"/>
      <w:r w:rsidR="00BE5B79">
        <w:rPr>
          <w:rFonts w:ascii="Times New Roman" w:eastAsia="宋体" w:hAnsi="Times New Roman" w:cs="Times New Roman"/>
          <w:kern w:val="0"/>
          <w:sz w:val="20"/>
          <w:szCs w:val="20"/>
          <w:lang w:val="en-GB"/>
        </w:rPr>
        <w:t>Non-CAG</w:t>
      </w:r>
      <w:proofErr w:type="gramEnd"/>
      <w:r w:rsidR="00BE5B79">
        <w:rPr>
          <w:rFonts w:ascii="Times New Roman" w:eastAsia="宋体" w:hAnsi="Times New Roman" w:cs="Times New Roman"/>
          <w:kern w:val="0"/>
          <w:sz w:val="20"/>
          <w:szCs w:val="20"/>
          <w:lang w:val="en-GB"/>
        </w:rPr>
        <w:t xml:space="preserve"> cell</w:t>
      </w:r>
      <w:r w:rsidR="00B8705B" w:rsidRPr="00B8705B">
        <w:rPr>
          <w:rFonts w:ascii="Times New Roman" w:eastAsia="宋体" w:hAnsi="Times New Roman" w:cs="Times New Roman"/>
          <w:kern w:val="0"/>
          <w:sz w:val="20"/>
          <w:szCs w:val="20"/>
          <w:lang w:val="en-GB"/>
        </w:rPr>
        <w:t>.</w:t>
      </w:r>
      <w:r w:rsidR="00F97671">
        <w:rPr>
          <w:rFonts w:ascii="Times New Roman" w:eastAsia="宋体" w:hAnsi="Times New Roman" w:cs="Times New Roman"/>
          <w:kern w:val="0"/>
          <w:sz w:val="20"/>
          <w:szCs w:val="20"/>
          <w:lang w:val="en-GB"/>
        </w:rPr>
        <w:t xml:space="preserve"> </w:t>
      </w:r>
      <w:r w:rsidR="00BE5B79">
        <w:rPr>
          <w:rFonts w:ascii="Times New Roman" w:eastAsia="宋体" w:hAnsi="Times New Roman" w:cs="Times New Roman"/>
          <w:kern w:val="0"/>
          <w:sz w:val="20"/>
          <w:szCs w:val="20"/>
          <w:lang w:val="en-GB"/>
        </w:rPr>
        <w:t>F</w:t>
      </w:r>
      <w:r w:rsidR="00F97671">
        <w:rPr>
          <w:rFonts w:ascii="Times New Roman" w:eastAsia="宋体" w:hAnsi="Times New Roman" w:cs="Times New Roman"/>
          <w:kern w:val="0"/>
          <w:sz w:val="20"/>
          <w:szCs w:val="20"/>
          <w:lang w:val="en-GB"/>
        </w:rPr>
        <w:t xml:space="preserve">or the closed access mode, </w:t>
      </w:r>
      <w:r w:rsidR="00BE5B79" w:rsidRPr="00BE5B79">
        <w:rPr>
          <w:rFonts w:ascii="Times New Roman" w:eastAsia="宋体" w:hAnsi="Times New Roman" w:cs="Times New Roman"/>
          <w:kern w:val="0"/>
          <w:sz w:val="20"/>
          <w:szCs w:val="20"/>
          <w:lang w:val="en-GB"/>
        </w:rPr>
        <w:t>C</w:t>
      </w:r>
      <w:r w:rsidR="00BE5B79">
        <w:rPr>
          <w:rFonts w:ascii="Times New Roman" w:eastAsia="宋体" w:hAnsi="Times New Roman" w:cs="Times New Roman"/>
          <w:kern w:val="0"/>
          <w:sz w:val="20"/>
          <w:szCs w:val="20"/>
          <w:lang w:val="en-GB"/>
        </w:rPr>
        <w:t>A</w:t>
      </w:r>
      <w:r w:rsidR="00BE5B79" w:rsidRPr="00BE5B79">
        <w:rPr>
          <w:rFonts w:ascii="Times New Roman" w:eastAsia="宋体" w:hAnsi="Times New Roman" w:cs="Times New Roman"/>
          <w:kern w:val="0"/>
          <w:sz w:val="20"/>
          <w:szCs w:val="20"/>
          <w:lang w:val="en-GB"/>
        </w:rPr>
        <w:t>G cells only allow the UEs of corresponding C</w:t>
      </w:r>
      <w:r w:rsidR="00BE5B79">
        <w:rPr>
          <w:rFonts w:ascii="Times New Roman" w:eastAsia="宋体" w:hAnsi="Times New Roman" w:cs="Times New Roman"/>
          <w:kern w:val="0"/>
          <w:sz w:val="20"/>
          <w:szCs w:val="20"/>
          <w:lang w:val="en-GB"/>
        </w:rPr>
        <w:t>A</w:t>
      </w:r>
      <w:r w:rsidR="00BE5B79" w:rsidRPr="00BE5B79">
        <w:rPr>
          <w:rFonts w:ascii="Times New Roman" w:eastAsia="宋体" w:hAnsi="Times New Roman" w:cs="Times New Roman"/>
          <w:kern w:val="0"/>
          <w:sz w:val="20"/>
          <w:szCs w:val="20"/>
          <w:lang w:val="en-GB"/>
        </w:rPr>
        <w:t>G subscribers to access.</w:t>
      </w:r>
    </w:p>
    <w:p w14:paraId="0B866F48" w14:textId="56DD4869" w:rsidR="006C616C" w:rsidRDefault="006C616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While for the Hybrid access mode, </w:t>
      </w:r>
      <w:r w:rsidR="003A2E07">
        <w:rPr>
          <w:rFonts w:ascii="Times New Roman" w:eastAsia="宋体" w:hAnsi="Times New Roman" w:cs="Times New Roman"/>
          <w:kern w:val="0"/>
          <w:sz w:val="20"/>
          <w:szCs w:val="20"/>
          <w:lang w:val="en-GB"/>
        </w:rPr>
        <w:t xml:space="preserve">all UEs can access to </w:t>
      </w:r>
      <w:r w:rsidR="003A2E07" w:rsidRPr="006F178B">
        <w:rPr>
          <w:rFonts w:ascii="Times New Roman" w:eastAsia="宋体" w:hAnsi="Times New Roman" w:cs="Times New Roman"/>
          <w:kern w:val="0"/>
          <w:sz w:val="20"/>
          <w:szCs w:val="20"/>
          <w:lang w:val="en-GB"/>
        </w:rPr>
        <w:t xml:space="preserve">the network </w:t>
      </w:r>
      <w:r w:rsidR="003A2E07">
        <w:rPr>
          <w:rFonts w:ascii="Times New Roman" w:eastAsia="宋体" w:hAnsi="Times New Roman" w:cs="Times New Roman"/>
          <w:kern w:val="0"/>
          <w:sz w:val="20"/>
          <w:szCs w:val="20"/>
          <w:lang w:val="en-GB"/>
        </w:rPr>
        <w:t xml:space="preserve">and the network will prioritize to serve the </w:t>
      </w:r>
      <w:r w:rsidR="003A2E07" w:rsidRPr="00BE5B79">
        <w:rPr>
          <w:rFonts w:ascii="Times New Roman" w:eastAsia="宋体" w:hAnsi="Times New Roman" w:cs="Times New Roman"/>
          <w:kern w:val="0"/>
          <w:sz w:val="20"/>
          <w:szCs w:val="20"/>
          <w:lang w:val="en-GB"/>
        </w:rPr>
        <w:t>C</w:t>
      </w:r>
      <w:r w:rsidR="003A2E07">
        <w:rPr>
          <w:rFonts w:ascii="Times New Roman" w:eastAsia="宋体" w:hAnsi="Times New Roman" w:cs="Times New Roman"/>
          <w:kern w:val="0"/>
          <w:sz w:val="20"/>
          <w:szCs w:val="20"/>
          <w:lang w:val="en-GB"/>
        </w:rPr>
        <w:t>S</w:t>
      </w:r>
      <w:r w:rsidR="003A2E07" w:rsidRPr="00BE5B79">
        <w:rPr>
          <w:rFonts w:ascii="Times New Roman" w:eastAsia="宋体" w:hAnsi="Times New Roman" w:cs="Times New Roman"/>
          <w:kern w:val="0"/>
          <w:sz w:val="20"/>
          <w:szCs w:val="20"/>
          <w:lang w:val="en-GB"/>
        </w:rPr>
        <w:t>G subscribers</w:t>
      </w:r>
      <w:r w:rsidR="003A2E07">
        <w:rPr>
          <w:rFonts w:ascii="Times New Roman" w:eastAsia="宋体" w:hAnsi="Times New Roman" w:cs="Times New Roman"/>
          <w:kern w:val="0"/>
          <w:sz w:val="20"/>
          <w:szCs w:val="20"/>
          <w:lang w:val="en-GB"/>
        </w:rPr>
        <w:t xml:space="preserve"> in case of congestion or overloaded. In LTE HeNB, </w:t>
      </w:r>
      <w:r>
        <w:rPr>
          <w:rFonts w:ascii="Times New Roman" w:eastAsia="宋体" w:hAnsi="Times New Roman" w:cs="Times New Roman"/>
          <w:kern w:val="0"/>
          <w:sz w:val="20"/>
          <w:szCs w:val="20"/>
          <w:lang w:val="en-GB"/>
        </w:rPr>
        <w:t>a hybrid cell broadcasts</w:t>
      </w:r>
      <w:r w:rsidRPr="00FB1ADF">
        <w:rPr>
          <w:rFonts w:ascii="Times New Roman" w:eastAsia="Times New Roman" w:hAnsi="Times New Roman" w:cs="Times New Roman"/>
          <w:kern w:val="0"/>
          <w:sz w:val="20"/>
          <w:szCs w:val="20"/>
          <w:lang w:val="en-GB" w:eastAsia="ja-JP"/>
        </w:rPr>
        <w:t xml:space="preserve"> a specific CSG identity</w:t>
      </w:r>
      <w:r w:rsidR="003A5582">
        <w:rPr>
          <w:rFonts w:ascii="Times New Roman" w:eastAsia="Times New Roman" w:hAnsi="Times New Roman" w:cs="Times New Roman"/>
          <w:kern w:val="0"/>
          <w:sz w:val="20"/>
          <w:szCs w:val="20"/>
          <w:lang w:val="en-GB" w:eastAsia="ja-JP"/>
        </w:rPr>
        <w:t xml:space="preserve"> and additional a CSG indicator set to false</w:t>
      </w:r>
      <w:r>
        <w:rPr>
          <w:rFonts w:ascii="Times New Roman" w:eastAsia="Times New Roman" w:hAnsi="Times New Roman" w:cs="Times New Roman"/>
          <w:kern w:val="0"/>
          <w:sz w:val="20"/>
          <w:szCs w:val="20"/>
          <w:lang w:val="en-GB" w:eastAsia="ja-JP"/>
        </w:rPr>
        <w:t xml:space="preserve">, </w:t>
      </w:r>
      <w:r w:rsidR="003A5582">
        <w:rPr>
          <w:rFonts w:ascii="Times New Roman" w:eastAsia="Times New Roman" w:hAnsi="Times New Roman" w:cs="Times New Roman"/>
          <w:kern w:val="0"/>
          <w:sz w:val="20"/>
          <w:szCs w:val="20"/>
          <w:lang w:val="en-GB" w:eastAsia="ja-JP"/>
        </w:rPr>
        <w:t>which help UE to distinguish a Hybrid cell from a CSG cell.</w:t>
      </w:r>
      <w:r w:rsidR="00F27517">
        <w:rPr>
          <w:rFonts w:ascii="Times New Roman" w:eastAsia="Times New Roman" w:hAnsi="Times New Roman" w:cs="Times New Roman"/>
          <w:kern w:val="0"/>
          <w:sz w:val="20"/>
          <w:szCs w:val="20"/>
          <w:lang w:val="en-GB" w:eastAsia="ja-JP"/>
        </w:rPr>
        <w:t xml:space="preserve"> However, </w:t>
      </w:r>
      <w:r w:rsidR="003A2E07">
        <w:rPr>
          <w:rFonts w:ascii="Times New Roman" w:eastAsia="Times New Roman" w:hAnsi="Times New Roman" w:cs="Times New Roman"/>
          <w:kern w:val="0"/>
          <w:sz w:val="20"/>
          <w:szCs w:val="20"/>
          <w:lang w:val="en-GB" w:eastAsia="ja-JP"/>
        </w:rPr>
        <w:t xml:space="preserve">no impact is expected on UE for </w:t>
      </w:r>
      <w:r w:rsidR="000F1C49">
        <w:rPr>
          <w:rFonts w:ascii="Times New Roman" w:eastAsia="Times New Roman" w:hAnsi="Times New Roman" w:cs="Times New Roman"/>
          <w:kern w:val="0"/>
          <w:sz w:val="20"/>
          <w:szCs w:val="20"/>
          <w:lang w:val="en-GB" w:eastAsia="ja-JP"/>
        </w:rPr>
        <w:t xml:space="preserve">NR </w:t>
      </w:r>
      <w:proofErr w:type="spellStart"/>
      <w:r w:rsidR="000F1C49">
        <w:rPr>
          <w:rFonts w:ascii="Times New Roman" w:eastAsia="Times New Roman" w:hAnsi="Times New Roman" w:cs="Times New Roman"/>
          <w:kern w:val="0"/>
          <w:sz w:val="20"/>
          <w:szCs w:val="20"/>
          <w:lang w:val="en-GB" w:eastAsia="ja-JP"/>
        </w:rPr>
        <w:t>Femto</w:t>
      </w:r>
      <w:proofErr w:type="spellEnd"/>
      <w:r w:rsidR="007614CF">
        <w:rPr>
          <w:rFonts w:ascii="Times New Roman" w:eastAsia="Times New Roman" w:hAnsi="Times New Roman" w:cs="Times New Roman"/>
          <w:kern w:val="0"/>
          <w:sz w:val="20"/>
          <w:szCs w:val="20"/>
          <w:lang w:val="en-GB" w:eastAsia="ja-JP"/>
        </w:rPr>
        <w:t xml:space="preserve"> as defined in the SID, then whether to support hybrid access mode for </w:t>
      </w:r>
      <w:r w:rsidR="000F1C49">
        <w:rPr>
          <w:rFonts w:ascii="Times New Roman" w:eastAsia="Times New Roman" w:hAnsi="Times New Roman" w:cs="Times New Roman"/>
          <w:kern w:val="0"/>
          <w:sz w:val="20"/>
          <w:szCs w:val="20"/>
          <w:lang w:val="en-GB" w:eastAsia="ja-JP"/>
        </w:rPr>
        <w:t xml:space="preserve">NR </w:t>
      </w:r>
      <w:proofErr w:type="spellStart"/>
      <w:r w:rsidR="000F1C49">
        <w:rPr>
          <w:rFonts w:ascii="Times New Roman" w:eastAsia="Times New Roman" w:hAnsi="Times New Roman" w:cs="Times New Roman"/>
          <w:kern w:val="0"/>
          <w:sz w:val="20"/>
          <w:szCs w:val="20"/>
          <w:lang w:val="en-GB" w:eastAsia="ja-JP"/>
        </w:rPr>
        <w:t>Femto</w:t>
      </w:r>
      <w:proofErr w:type="spellEnd"/>
      <w:r w:rsidR="007614CF">
        <w:rPr>
          <w:rFonts w:ascii="Times New Roman" w:eastAsia="Times New Roman" w:hAnsi="Times New Roman" w:cs="Times New Roman"/>
          <w:kern w:val="0"/>
          <w:sz w:val="20"/>
          <w:szCs w:val="20"/>
          <w:lang w:val="en-GB" w:eastAsia="ja-JP"/>
        </w:rPr>
        <w:t xml:space="preserve"> needs to be further studied.</w:t>
      </w:r>
    </w:p>
    <w:p w14:paraId="5127C282" w14:textId="7E80E83B" w:rsidR="005C5B2A" w:rsidRDefault="007C796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1AE">
        <w:rPr>
          <w:rFonts w:ascii="Times New Roman" w:eastAsia="宋体" w:hAnsi="Times New Roman" w:cs="Times New Roman" w:hint="eastAsia"/>
          <w:b/>
          <w:bCs/>
          <w:kern w:val="0"/>
          <w:sz w:val="20"/>
          <w:szCs w:val="20"/>
        </w:rPr>
        <w:t>P</w:t>
      </w:r>
      <w:r w:rsidRPr="001B11AE">
        <w:rPr>
          <w:rFonts w:ascii="Times New Roman" w:eastAsia="宋体" w:hAnsi="Times New Roman" w:cs="Times New Roman"/>
          <w:b/>
          <w:bCs/>
          <w:kern w:val="0"/>
          <w:sz w:val="20"/>
          <w:szCs w:val="20"/>
        </w:rPr>
        <w:t xml:space="preserve">roposal </w:t>
      </w:r>
      <w:r w:rsidR="00276BD5">
        <w:rPr>
          <w:rFonts w:ascii="Times New Roman" w:eastAsia="宋体" w:hAnsi="Times New Roman" w:cs="Times New Roman"/>
          <w:b/>
          <w:bCs/>
          <w:kern w:val="0"/>
          <w:sz w:val="20"/>
          <w:szCs w:val="20"/>
        </w:rPr>
        <w:t>1</w:t>
      </w:r>
      <w:r w:rsidRPr="001B11AE">
        <w:rPr>
          <w:rFonts w:ascii="Times New Roman" w:eastAsia="宋体" w:hAnsi="Times New Roman" w:cs="Times New Roman"/>
          <w:b/>
          <w:bCs/>
          <w:kern w:val="0"/>
          <w:sz w:val="20"/>
          <w:szCs w:val="20"/>
        </w:rPr>
        <w:t xml:space="preserve">: </w:t>
      </w:r>
      <w:r w:rsidR="000F1C49">
        <w:rPr>
          <w:rFonts w:ascii="Times New Roman" w:eastAsia="宋体" w:hAnsi="Times New Roman" w:cs="Times New Roman"/>
          <w:b/>
          <w:bCs/>
          <w:kern w:val="0"/>
          <w:sz w:val="20"/>
          <w:szCs w:val="20"/>
        </w:rPr>
        <w:t xml:space="preserve">NR </w:t>
      </w:r>
      <w:proofErr w:type="spellStart"/>
      <w:r w:rsidR="000F1C49">
        <w:rPr>
          <w:rFonts w:ascii="Times New Roman" w:eastAsia="宋体" w:hAnsi="Times New Roman" w:cs="Times New Roman"/>
          <w:b/>
          <w:bCs/>
          <w:kern w:val="0"/>
          <w:sz w:val="20"/>
          <w:szCs w:val="20"/>
        </w:rPr>
        <w:t>Femto</w:t>
      </w:r>
      <w:proofErr w:type="spellEnd"/>
      <w:r w:rsidR="001219B5" w:rsidRPr="001B11AE">
        <w:rPr>
          <w:rFonts w:ascii="Times New Roman" w:eastAsia="宋体" w:hAnsi="Times New Roman" w:cs="Times New Roman"/>
          <w:b/>
          <w:bCs/>
          <w:kern w:val="0"/>
          <w:sz w:val="20"/>
          <w:szCs w:val="20"/>
        </w:rPr>
        <w:t xml:space="preserve"> can support</w:t>
      </w:r>
      <w:r w:rsidR="005C2982">
        <w:rPr>
          <w:rFonts w:ascii="Times New Roman" w:eastAsia="宋体" w:hAnsi="Times New Roman" w:cs="Times New Roman"/>
          <w:b/>
          <w:bCs/>
          <w:kern w:val="0"/>
          <w:sz w:val="20"/>
          <w:szCs w:val="20"/>
        </w:rPr>
        <w:t xml:space="preserve"> </w:t>
      </w:r>
      <w:r w:rsidR="001219B5" w:rsidRPr="001B11AE">
        <w:rPr>
          <w:rFonts w:ascii="Times New Roman" w:eastAsia="宋体" w:hAnsi="Times New Roman" w:cs="Times New Roman"/>
          <w:b/>
          <w:bCs/>
          <w:kern w:val="0"/>
          <w:sz w:val="20"/>
          <w:szCs w:val="20"/>
        </w:rPr>
        <w:t>open access mode</w:t>
      </w:r>
      <w:r w:rsidR="005C2982">
        <w:rPr>
          <w:rFonts w:ascii="Times New Roman" w:eastAsia="宋体" w:hAnsi="Times New Roman" w:cs="Times New Roman"/>
          <w:b/>
          <w:bCs/>
          <w:kern w:val="0"/>
          <w:sz w:val="20"/>
          <w:szCs w:val="20"/>
        </w:rPr>
        <w:t xml:space="preserve"> and </w:t>
      </w:r>
      <w:r w:rsidR="001219B5" w:rsidRPr="001B11AE">
        <w:rPr>
          <w:rFonts w:ascii="Times New Roman" w:eastAsia="宋体" w:hAnsi="Times New Roman" w:cs="Times New Roman"/>
          <w:b/>
          <w:bCs/>
          <w:kern w:val="0"/>
          <w:sz w:val="20"/>
          <w:szCs w:val="20"/>
        </w:rPr>
        <w:t>closed access mode</w:t>
      </w:r>
      <w:r w:rsidR="005C2982">
        <w:rPr>
          <w:rFonts w:ascii="Times New Roman" w:eastAsia="宋体" w:hAnsi="Times New Roman" w:cs="Times New Roman"/>
          <w:b/>
          <w:bCs/>
          <w:kern w:val="0"/>
          <w:sz w:val="20"/>
          <w:szCs w:val="20"/>
        </w:rPr>
        <w:t xml:space="preserve"> by using CAG, FFS on hybrid access mode.</w:t>
      </w:r>
    </w:p>
    <w:p w14:paraId="1D49CEF1" w14:textId="44EA2AFF" w:rsidR="001B2663" w:rsidRDefault="00001656"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for the </w:t>
      </w:r>
      <w:r w:rsidR="00BF17A8">
        <w:rPr>
          <w:rFonts w:ascii="Times New Roman" w:eastAsia="宋体" w:hAnsi="Times New Roman" w:cs="Times New Roman"/>
          <w:kern w:val="0"/>
          <w:sz w:val="20"/>
          <w:szCs w:val="20"/>
        </w:rPr>
        <w:t>connected mode mobility management</w:t>
      </w:r>
      <w:r w:rsidR="00603FD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of </w:t>
      </w:r>
      <w:r w:rsidR="00BF17A8">
        <w:rPr>
          <w:rFonts w:ascii="Times New Roman" w:eastAsia="宋体" w:hAnsi="Times New Roman" w:cs="Times New Roman"/>
          <w:kern w:val="0"/>
          <w:sz w:val="20"/>
          <w:szCs w:val="20"/>
        </w:rPr>
        <w:t>UE between Non-</w:t>
      </w:r>
      <w:r w:rsidR="0032317B">
        <w:rPr>
          <w:rFonts w:ascii="Times New Roman" w:eastAsia="宋体" w:hAnsi="Times New Roman" w:cs="Times New Roman"/>
          <w:kern w:val="0"/>
          <w:sz w:val="20"/>
          <w:szCs w:val="20"/>
        </w:rPr>
        <w:t>5G-Femto cell (</w:t>
      </w:r>
      <w:proofErr w:type="gramStart"/>
      <w:r w:rsidR="0032317B">
        <w:rPr>
          <w:rFonts w:ascii="Times New Roman" w:eastAsia="宋体" w:hAnsi="Times New Roman" w:cs="Times New Roman"/>
          <w:kern w:val="0"/>
          <w:sz w:val="20"/>
          <w:szCs w:val="20"/>
          <w:lang w:val="en-GB"/>
        </w:rPr>
        <w:t>Non-CAG</w:t>
      </w:r>
      <w:proofErr w:type="gramEnd"/>
      <w:r w:rsidR="0032317B">
        <w:rPr>
          <w:rFonts w:ascii="Times New Roman" w:eastAsia="宋体" w:hAnsi="Times New Roman" w:cs="Times New Roman"/>
          <w:kern w:val="0"/>
          <w:sz w:val="20"/>
          <w:szCs w:val="20"/>
          <w:lang w:val="en-GB"/>
        </w:rPr>
        <w:t xml:space="preserve"> cell</w:t>
      </w:r>
      <w:r w:rsidR="0032317B">
        <w:rPr>
          <w:rFonts w:ascii="Times New Roman" w:eastAsia="宋体" w:hAnsi="Times New Roman" w:cs="Times New Roman"/>
          <w:kern w:val="0"/>
          <w:sz w:val="20"/>
          <w:szCs w:val="20"/>
        </w:rPr>
        <w:t>)</w:t>
      </w:r>
      <w:r w:rsidR="00BF17A8">
        <w:rPr>
          <w:rFonts w:ascii="Times New Roman" w:eastAsia="宋体" w:hAnsi="Times New Roman" w:cs="Times New Roman"/>
          <w:kern w:val="0"/>
          <w:sz w:val="20"/>
          <w:szCs w:val="20"/>
        </w:rPr>
        <w:t xml:space="preserve"> and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00BF17A8">
        <w:rPr>
          <w:rFonts w:ascii="Times New Roman" w:eastAsia="宋体" w:hAnsi="Times New Roman" w:cs="Times New Roman"/>
          <w:kern w:val="0"/>
          <w:sz w:val="20"/>
          <w:szCs w:val="20"/>
        </w:rPr>
        <w:t xml:space="preserve"> cell</w:t>
      </w:r>
      <w:r w:rsidR="0032317B">
        <w:rPr>
          <w:rFonts w:ascii="Times New Roman" w:eastAsia="宋体" w:hAnsi="Times New Roman" w:cs="Times New Roman"/>
          <w:kern w:val="0"/>
          <w:sz w:val="20"/>
          <w:szCs w:val="20"/>
        </w:rPr>
        <w:t xml:space="preserve"> </w:t>
      </w:r>
      <w:r w:rsidR="0024120E">
        <w:rPr>
          <w:rFonts w:ascii="Times New Roman" w:eastAsia="宋体" w:hAnsi="Times New Roman" w:cs="Times New Roman"/>
          <w:kern w:val="0"/>
          <w:sz w:val="20"/>
          <w:szCs w:val="20"/>
        </w:rPr>
        <w:t>(</w:t>
      </w:r>
      <w:r w:rsidR="0032317B" w:rsidRPr="00BE5B79">
        <w:rPr>
          <w:rFonts w:ascii="Times New Roman" w:eastAsia="宋体" w:hAnsi="Times New Roman" w:cs="Times New Roman"/>
          <w:kern w:val="0"/>
          <w:sz w:val="20"/>
          <w:szCs w:val="20"/>
          <w:lang w:val="en-GB"/>
        </w:rPr>
        <w:t>C</w:t>
      </w:r>
      <w:r w:rsidR="0032317B">
        <w:rPr>
          <w:rFonts w:ascii="Times New Roman" w:eastAsia="宋体" w:hAnsi="Times New Roman" w:cs="Times New Roman"/>
          <w:kern w:val="0"/>
          <w:sz w:val="20"/>
          <w:szCs w:val="20"/>
          <w:lang w:val="en-GB"/>
        </w:rPr>
        <w:t>A</w:t>
      </w:r>
      <w:r w:rsidR="0032317B" w:rsidRPr="00BE5B79">
        <w:rPr>
          <w:rFonts w:ascii="Times New Roman" w:eastAsia="宋体" w:hAnsi="Times New Roman" w:cs="Times New Roman"/>
          <w:kern w:val="0"/>
          <w:sz w:val="20"/>
          <w:szCs w:val="20"/>
          <w:lang w:val="en-GB"/>
        </w:rPr>
        <w:t>G cell</w:t>
      </w:r>
      <w:r w:rsidR="0024120E">
        <w:rPr>
          <w:rFonts w:ascii="Times New Roman" w:eastAsia="宋体" w:hAnsi="Times New Roman" w:cs="Times New Roman"/>
          <w:kern w:val="0"/>
          <w:sz w:val="20"/>
          <w:szCs w:val="20"/>
          <w:lang w:val="en-GB"/>
        </w:rPr>
        <w:t>)</w:t>
      </w:r>
      <w:r w:rsidR="00BF17A8">
        <w:rPr>
          <w:rFonts w:ascii="Times New Roman" w:eastAsia="宋体" w:hAnsi="Times New Roman" w:cs="Times New Roman"/>
          <w:kern w:val="0"/>
          <w:sz w:val="20"/>
          <w:szCs w:val="20"/>
        </w:rPr>
        <w:t>, the following legacy mechanism [</w:t>
      </w:r>
      <w:r w:rsidR="0020521A">
        <w:rPr>
          <w:rFonts w:ascii="Times New Roman" w:eastAsia="宋体" w:hAnsi="Times New Roman" w:cs="Times New Roman"/>
          <w:kern w:val="0"/>
          <w:sz w:val="20"/>
          <w:szCs w:val="20"/>
        </w:rPr>
        <w:t>4</w:t>
      </w:r>
      <w:r w:rsidR="00BF17A8">
        <w:rPr>
          <w:rFonts w:ascii="Times New Roman" w:eastAsia="宋体" w:hAnsi="Times New Roman" w:cs="Times New Roman"/>
          <w:kern w:val="0"/>
          <w:sz w:val="20"/>
          <w:szCs w:val="20"/>
        </w:rPr>
        <w:t>] can be totally reused. While for the idle mode mobility management, it can be further discussed in RAN2.</w:t>
      </w:r>
    </w:p>
    <w:tbl>
      <w:tblPr>
        <w:tblW w:w="961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B61E64" w14:paraId="4A96F2AA" w14:textId="77777777" w:rsidTr="00B61E64">
        <w:trPr>
          <w:trHeight w:val="480"/>
        </w:trPr>
        <w:tc>
          <w:tcPr>
            <w:tcW w:w="9610" w:type="dxa"/>
          </w:tcPr>
          <w:p w14:paraId="5A2823AE" w14:textId="77777777" w:rsidR="00603FD4" w:rsidRPr="00603FD4" w:rsidRDefault="00603FD4" w:rsidP="00603FD4">
            <w:pPr>
              <w:widowControl/>
              <w:spacing w:after="180"/>
              <w:ind w:left="568"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During connected mode mobility procedures within NG-RAN, i.e., handover procedures as described in clause 4.9.1 of TS 23.502 [3]:</w:t>
            </w:r>
          </w:p>
          <w:p w14:paraId="50EDA240"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Source NG-RAN shall not handover the UE to a target NG-RAN node if the target is a CAG cell and none of the CAG Identifiers supported by the CAG cell are part of the UE's Allowed CAG list in the Mobility Restriction List or if no Allowed CAG list has been received from the </w:t>
            </w:r>
            <w:proofErr w:type="gramStart"/>
            <w:r w:rsidRPr="00603FD4">
              <w:rPr>
                <w:rFonts w:ascii="Times New Roman" w:eastAsia="等线" w:hAnsi="Times New Roman" w:cs="Times New Roman"/>
                <w:sz w:val="20"/>
                <w:szCs w:val="20"/>
                <w:lang w:eastAsia="en-US"/>
              </w:rPr>
              <w:t>AMF;</w:t>
            </w:r>
            <w:proofErr w:type="gramEnd"/>
          </w:p>
          <w:p w14:paraId="47765B80"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Source NG-RAN shall not handover the UE to a non-CAG cell if the UE is only allowed to access CAG cells based on the Mobility Restriction </w:t>
            </w:r>
            <w:proofErr w:type="gramStart"/>
            <w:r w:rsidRPr="00603FD4">
              <w:rPr>
                <w:rFonts w:ascii="Times New Roman" w:eastAsia="等线" w:hAnsi="Times New Roman" w:cs="Times New Roman"/>
                <w:sz w:val="20"/>
                <w:szCs w:val="20"/>
                <w:lang w:eastAsia="en-US"/>
              </w:rPr>
              <w:t>List;</w:t>
            </w:r>
            <w:proofErr w:type="gramEnd"/>
          </w:p>
          <w:p w14:paraId="22A106B5"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If the target cell is a CAG cell, target NG-RAN shall reject the N2 based handover procedure if none of the CAG Identifiers supported by the CAG cell are part of the UE's Allowed CAG list in the Mobility Restriction List or if no Allowed CAG list has been received from the </w:t>
            </w:r>
            <w:proofErr w:type="gramStart"/>
            <w:r w:rsidRPr="00603FD4">
              <w:rPr>
                <w:rFonts w:ascii="Times New Roman" w:eastAsia="等线" w:hAnsi="Times New Roman" w:cs="Times New Roman"/>
                <w:sz w:val="20"/>
                <w:szCs w:val="20"/>
                <w:lang w:eastAsia="en-US"/>
              </w:rPr>
              <w:t>AMF;</w:t>
            </w:r>
            <w:proofErr w:type="gramEnd"/>
          </w:p>
          <w:p w14:paraId="008006F1" w14:textId="36D13234" w:rsidR="00B61E6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If the target cell is a non-CAG cell, target NG-RAN shall reject the N2 based handover procedure if the UE is only allowed to access CAG cells based on the Mobility Restriction List.</w:t>
            </w:r>
          </w:p>
        </w:tc>
      </w:tr>
    </w:tbl>
    <w:p w14:paraId="1B226FED" w14:textId="795575F1" w:rsidR="00B61E64" w:rsidRPr="00AD186C" w:rsidRDefault="002911D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D186C">
        <w:rPr>
          <w:rFonts w:ascii="Times New Roman" w:eastAsia="宋体" w:hAnsi="Times New Roman" w:cs="Times New Roman" w:hint="eastAsia"/>
          <w:b/>
          <w:bCs/>
          <w:kern w:val="0"/>
          <w:sz w:val="20"/>
          <w:szCs w:val="20"/>
        </w:rPr>
        <w:t>P</w:t>
      </w:r>
      <w:r w:rsidRPr="00AD186C">
        <w:rPr>
          <w:rFonts w:ascii="Times New Roman" w:eastAsia="宋体" w:hAnsi="Times New Roman" w:cs="Times New Roman"/>
          <w:b/>
          <w:bCs/>
          <w:kern w:val="0"/>
          <w:sz w:val="20"/>
          <w:szCs w:val="20"/>
        </w:rPr>
        <w:t xml:space="preserve">roposal </w:t>
      </w:r>
      <w:r w:rsidR="00276BD5">
        <w:rPr>
          <w:rFonts w:ascii="Times New Roman" w:eastAsia="宋体" w:hAnsi="Times New Roman" w:cs="Times New Roman"/>
          <w:b/>
          <w:bCs/>
          <w:kern w:val="0"/>
          <w:sz w:val="20"/>
          <w:szCs w:val="20"/>
        </w:rPr>
        <w:t>2</w:t>
      </w:r>
      <w:r w:rsidRPr="00AD186C">
        <w:rPr>
          <w:rFonts w:ascii="Times New Roman" w:eastAsia="宋体" w:hAnsi="Times New Roman" w:cs="Times New Roman"/>
          <w:b/>
          <w:bCs/>
          <w:kern w:val="0"/>
          <w:sz w:val="20"/>
          <w:szCs w:val="20"/>
        </w:rPr>
        <w:t xml:space="preserve">: </w:t>
      </w:r>
      <w:r w:rsidR="00AD186C" w:rsidRPr="00AD186C">
        <w:rPr>
          <w:rFonts w:ascii="Times New Roman" w:eastAsia="宋体" w:hAnsi="Times New Roman" w:cs="Times New Roman"/>
          <w:b/>
          <w:bCs/>
          <w:kern w:val="0"/>
          <w:sz w:val="20"/>
          <w:szCs w:val="20"/>
        </w:rPr>
        <w:t xml:space="preserve">Reusing the legacy CAG mechanism for handover of UEs between </w:t>
      </w:r>
      <w:r w:rsidR="0014110B" w:rsidRPr="0014110B">
        <w:rPr>
          <w:rFonts w:ascii="Times New Roman" w:eastAsia="宋体" w:hAnsi="Times New Roman" w:cs="Times New Roman"/>
          <w:b/>
          <w:bCs/>
          <w:kern w:val="0"/>
          <w:sz w:val="20"/>
          <w:szCs w:val="20"/>
        </w:rPr>
        <w:t>Non-</w:t>
      </w:r>
      <w:r w:rsidR="00F80FC6">
        <w:rPr>
          <w:rFonts w:ascii="Times New Roman" w:eastAsia="宋体" w:hAnsi="Times New Roman" w:cs="Times New Roman"/>
          <w:b/>
          <w:bCs/>
          <w:kern w:val="0"/>
          <w:sz w:val="20"/>
          <w:szCs w:val="20"/>
        </w:rPr>
        <w:t>NR</w:t>
      </w:r>
      <w:r w:rsidR="0014110B" w:rsidRPr="0014110B">
        <w:rPr>
          <w:rFonts w:ascii="Times New Roman" w:eastAsia="宋体" w:hAnsi="Times New Roman" w:cs="Times New Roman"/>
          <w:b/>
          <w:bCs/>
          <w:kern w:val="0"/>
          <w:sz w:val="20"/>
          <w:szCs w:val="20"/>
        </w:rPr>
        <w:t>-</w:t>
      </w:r>
      <w:proofErr w:type="spellStart"/>
      <w:r w:rsidR="0014110B" w:rsidRPr="0014110B">
        <w:rPr>
          <w:rFonts w:ascii="Times New Roman" w:eastAsia="宋体" w:hAnsi="Times New Roman" w:cs="Times New Roman"/>
          <w:b/>
          <w:bCs/>
          <w:kern w:val="0"/>
          <w:sz w:val="20"/>
          <w:szCs w:val="20"/>
        </w:rPr>
        <w:t>Femto</w:t>
      </w:r>
      <w:proofErr w:type="spellEnd"/>
      <w:r w:rsidR="0014110B" w:rsidRPr="0014110B">
        <w:rPr>
          <w:rFonts w:ascii="Times New Roman" w:eastAsia="宋体" w:hAnsi="Times New Roman" w:cs="Times New Roman"/>
          <w:b/>
          <w:bCs/>
          <w:kern w:val="0"/>
          <w:sz w:val="20"/>
          <w:szCs w:val="20"/>
        </w:rPr>
        <w:t xml:space="preserve"> cell and </w:t>
      </w:r>
      <w:r w:rsidR="000F1C49">
        <w:rPr>
          <w:rFonts w:ascii="Times New Roman" w:eastAsia="宋体" w:hAnsi="Times New Roman" w:cs="Times New Roman"/>
          <w:b/>
          <w:bCs/>
          <w:kern w:val="0"/>
          <w:sz w:val="20"/>
          <w:szCs w:val="20"/>
        </w:rPr>
        <w:t xml:space="preserve">NR </w:t>
      </w:r>
      <w:proofErr w:type="spellStart"/>
      <w:r w:rsidR="000F1C49">
        <w:rPr>
          <w:rFonts w:ascii="Times New Roman" w:eastAsia="宋体" w:hAnsi="Times New Roman" w:cs="Times New Roman"/>
          <w:b/>
          <w:bCs/>
          <w:kern w:val="0"/>
          <w:sz w:val="20"/>
          <w:szCs w:val="20"/>
        </w:rPr>
        <w:t>Femto</w:t>
      </w:r>
      <w:proofErr w:type="spellEnd"/>
      <w:r w:rsidR="0014110B" w:rsidRPr="0014110B">
        <w:rPr>
          <w:rFonts w:ascii="Times New Roman" w:eastAsia="宋体" w:hAnsi="Times New Roman" w:cs="Times New Roman"/>
          <w:b/>
          <w:bCs/>
          <w:kern w:val="0"/>
          <w:sz w:val="20"/>
          <w:szCs w:val="20"/>
        </w:rPr>
        <w:t xml:space="preserve"> cell</w:t>
      </w:r>
      <w:r w:rsidR="00AD186C" w:rsidRPr="00AD186C">
        <w:rPr>
          <w:rFonts w:ascii="Times New Roman" w:eastAsia="宋体" w:hAnsi="Times New Roman" w:cs="Times New Roman"/>
          <w:b/>
          <w:bCs/>
          <w:kern w:val="0"/>
          <w:sz w:val="20"/>
          <w:szCs w:val="20"/>
        </w:rPr>
        <w:t xml:space="preserve">. </w:t>
      </w:r>
    </w:p>
    <w:bookmarkEnd w:id="3"/>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68C6A249"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discuss</w:t>
      </w:r>
      <w:r w:rsidR="00C00D6D" w:rsidRPr="00C00D6D">
        <w:rPr>
          <w:rFonts w:ascii="Times New Roman" w:eastAsia="宋体" w:hAnsi="Times New Roman" w:cs="Times New Roman"/>
          <w:kern w:val="0"/>
          <w:sz w:val="20"/>
          <w:szCs w:val="20"/>
        </w:rPr>
        <w:t xml:space="preserve"> </w:t>
      </w:r>
      <w:r w:rsidR="000641AF">
        <w:rPr>
          <w:rFonts w:ascii="Times New Roman" w:eastAsia="宋体" w:hAnsi="Times New Roman" w:cs="Times New Roman"/>
          <w:kern w:val="0"/>
          <w:sz w:val="20"/>
          <w:szCs w:val="20"/>
        </w:rPr>
        <w:t>access control and handover mechanisms</w:t>
      </w:r>
      <w:r w:rsidR="00C00D6D">
        <w:rPr>
          <w:rFonts w:ascii="Times New Roman" w:eastAsia="宋体" w:hAnsi="Times New Roman" w:cs="Times New Roman"/>
          <w:kern w:val="0"/>
          <w:sz w:val="20"/>
          <w:szCs w:val="20"/>
        </w:rPr>
        <w:t xml:space="preserve">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00C00D6D">
        <w:rPr>
          <w:rFonts w:ascii="Times New Roman" w:eastAsia="宋体" w:hAnsi="Times New Roman" w:cs="Times New Roman"/>
          <w:kern w:val="0"/>
          <w:sz w:val="20"/>
          <w:szCs w:val="20"/>
        </w:rPr>
        <w:t xml:space="preserve">. </w:t>
      </w:r>
      <w:r w:rsidR="00F862F2">
        <w:rPr>
          <w:rFonts w:ascii="Times New Roman" w:eastAsia="宋体" w:hAnsi="Times New Roman" w:cs="Times New Roman"/>
          <w:kern w:val="0"/>
          <w:sz w:val="20"/>
          <w:szCs w:val="20"/>
        </w:rPr>
        <w:t>And following observations and proposals are concluded.</w:t>
      </w:r>
      <w:r w:rsidR="00385E03">
        <w:rPr>
          <w:rFonts w:ascii="Times New Roman" w:eastAsia="宋体" w:hAnsi="Times New Roman" w:cs="Times New Roman"/>
          <w:kern w:val="0"/>
          <w:sz w:val="20"/>
          <w:szCs w:val="20"/>
        </w:rPr>
        <w:t xml:space="preserve"> </w:t>
      </w:r>
    </w:p>
    <w:p w14:paraId="29A0ADE0" w14:textId="44E7F0F6" w:rsidR="006F15A1" w:rsidRDefault="006F15A1" w:rsidP="006F15A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1AE">
        <w:rPr>
          <w:rFonts w:ascii="Times New Roman" w:eastAsia="宋体" w:hAnsi="Times New Roman" w:cs="Times New Roman" w:hint="eastAsia"/>
          <w:b/>
          <w:bCs/>
          <w:kern w:val="0"/>
          <w:sz w:val="20"/>
          <w:szCs w:val="20"/>
        </w:rPr>
        <w:t>P</w:t>
      </w:r>
      <w:r w:rsidRPr="001B11AE">
        <w:rPr>
          <w:rFonts w:ascii="Times New Roman" w:eastAsia="宋体" w:hAnsi="Times New Roman" w:cs="Times New Roman"/>
          <w:b/>
          <w:bCs/>
          <w:kern w:val="0"/>
          <w:sz w:val="20"/>
          <w:szCs w:val="20"/>
        </w:rPr>
        <w:t xml:space="preserve">roposal </w:t>
      </w:r>
      <w:r w:rsidR="00276BD5">
        <w:rPr>
          <w:rFonts w:ascii="Times New Roman" w:eastAsia="宋体" w:hAnsi="Times New Roman" w:cs="Times New Roman"/>
          <w:b/>
          <w:bCs/>
          <w:kern w:val="0"/>
          <w:sz w:val="20"/>
          <w:szCs w:val="20"/>
        </w:rPr>
        <w:t>1</w:t>
      </w:r>
      <w:r w:rsidRPr="001B11AE">
        <w:rPr>
          <w:rFonts w:ascii="Times New Roman" w:eastAsia="宋体" w:hAnsi="Times New Roman" w:cs="Times New Roman"/>
          <w:b/>
          <w:bCs/>
          <w:kern w:val="0"/>
          <w:sz w:val="20"/>
          <w:szCs w:val="20"/>
        </w:rPr>
        <w:t xml:space="preserve">: </w:t>
      </w:r>
      <w:r w:rsidR="000F1C49">
        <w:rPr>
          <w:rFonts w:ascii="Times New Roman" w:eastAsia="宋体" w:hAnsi="Times New Roman" w:cs="Times New Roman"/>
          <w:b/>
          <w:bCs/>
          <w:kern w:val="0"/>
          <w:sz w:val="20"/>
          <w:szCs w:val="20"/>
        </w:rPr>
        <w:t xml:space="preserve">NR </w:t>
      </w:r>
      <w:proofErr w:type="spellStart"/>
      <w:r w:rsidR="000F1C49">
        <w:rPr>
          <w:rFonts w:ascii="Times New Roman" w:eastAsia="宋体" w:hAnsi="Times New Roman" w:cs="Times New Roman"/>
          <w:b/>
          <w:bCs/>
          <w:kern w:val="0"/>
          <w:sz w:val="20"/>
          <w:szCs w:val="20"/>
        </w:rPr>
        <w:t>Femto</w:t>
      </w:r>
      <w:proofErr w:type="spellEnd"/>
      <w:r w:rsidRPr="001B11AE">
        <w:rPr>
          <w:rFonts w:ascii="Times New Roman" w:eastAsia="宋体" w:hAnsi="Times New Roman" w:cs="Times New Roman"/>
          <w:b/>
          <w:bCs/>
          <w:kern w:val="0"/>
          <w:sz w:val="20"/>
          <w:szCs w:val="20"/>
        </w:rPr>
        <w:t xml:space="preserve"> can support</w:t>
      </w:r>
      <w:r>
        <w:rPr>
          <w:rFonts w:ascii="Times New Roman" w:eastAsia="宋体" w:hAnsi="Times New Roman" w:cs="Times New Roman"/>
          <w:b/>
          <w:bCs/>
          <w:kern w:val="0"/>
          <w:sz w:val="20"/>
          <w:szCs w:val="20"/>
        </w:rPr>
        <w:t xml:space="preserve"> </w:t>
      </w:r>
      <w:r w:rsidRPr="001B11AE">
        <w:rPr>
          <w:rFonts w:ascii="Times New Roman" w:eastAsia="宋体" w:hAnsi="Times New Roman" w:cs="Times New Roman"/>
          <w:b/>
          <w:bCs/>
          <w:kern w:val="0"/>
          <w:sz w:val="20"/>
          <w:szCs w:val="20"/>
        </w:rPr>
        <w:t>open access mode</w:t>
      </w:r>
      <w:r>
        <w:rPr>
          <w:rFonts w:ascii="Times New Roman" w:eastAsia="宋体" w:hAnsi="Times New Roman" w:cs="Times New Roman"/>
          <w:b/>
          <w:bCs/>
          <w:kern w:val="0"/>
          <w:sz w:val="20"/>
          <w:szCs w:val="20"/>
        </w:rPr>
        <w:t xml:space="preserve"> and </w:t>
      </w:r>
      <w:r w:rsidRPr="001B11AE">
        <w:rPr>
          <w:rFonts w:ascii="Times New Roman" w:eastAsia="宋体" w:hAnsi="Times New Roman" w:cs="Times New Roman"/>
          <w:b/>
          <w:bCs/>
          <w:kern w:val="0"/>
          <w:sz w:val="20"/>
          <w:szCs w:val="20"/>
        </w:rPr>
        <w:t>closed access mode</w:t>
      </w:r>
      <w:r>
        <w:rPr>
          <w:rFonts w:ascii="Times New Roman" w:eastAsia="宋体" w:hAnsi="Times New Roman" w:cs="Times New Roman"/>
          <w:b/>
          <w:bCs/>
          <w:kern w:val="0"/>
          <w:sz w:val="20"/>
          <w:szCs w:val="20"/>
        </w:rPr>
        <w:t xml:space="preserve"> by using CAG, FFS on hybrid access mode.</w:t>
      </w:r>
      <w:r w:rsidR="00C5473D">
        <w:rPr>
          <w:rFonts w:ascii="Times New Roman" w:eastAsia="宋体" w:hAnsi="Times New Roman" w:cs="Times New Roman"/>
          <w:b/>
          <w:bCs/>
          <w:kern w:val="0"/>
          <w:sz w:val="20"/>
          <w:szCs w:val="20"/>
        </w:rPr>
        <w:t xml:space="preserve"> </w:t>
      </w:r>
    </w:p>
    <w:p w14:paraId="40FD5881" w14:textId="2F14C4DE" w:rsidR="0014110B" w:rsidRPr="0014110B" w:rsidRDefault="0014110B" w:rsidP="000641A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D186C">
        <w:rPr>
          <w:rFonts w:ascii="Times New Roman" w:eastAsia="宋体" w:hAnsi="Times New Roman" w:cs="Times New Roman" w:hint="eastAsia"/>
          <w:b/>
          <w:bCs/>
          <w:kern w:val="0"/>
          <w:sz w:val="20"/>
          <w:szCs w:val="20"/>
        </w:rPr>
        <w:t>P</w:t>
      </w:r>
      <w:r w:rsidRPr="00AD186C">
        <w:rPr>
          <w:rFonts w:ascii="Times New Roman" w:eastAsia="宋体" w:hAnsi="Times New Roman" w:cs="Times New Roman"/>
          <w:b/>
          <w:bCs/>
          <w:kern w:val="0"/>
          <w:sz w:val="20"/>
          <w:szCs w:val="20"/>
        </w:rPr>
        <w:t xml:space="preserve">roposal </w:t>
      </w:r>
      <w:r w:rsidR="00276BD5">
        <w:rPr>
          <w:rFonts w:ascii="Times New Roman" w:eastAsia="宋体" w:hAnsi="Times New Roman" w:cs="Times New Roman"/>
          <w:b/>
          <w:bCs/>
          <w:kern w:val="0"/>
          <w:sz w:val="20"/>
          <w:szCs w:val="20"/>
        </w:rPr>
        <w:t>2</w:t>
      </w:r>
      <w:r w:rsidRPr="00AD186C">
        <w:rPr>
          <w:rFonts w:ascii="Times New Roman" w:eastAsia="宋体" w:hAnsi="Times New Roman" w:cs="Times New Roman"/>
          <w:b/>
          <w:bCs/>
          <w:kern w:val="0"/>
          <w:sz w:val="20"/>
          <w:szCs w:val="20"/>
        </w:rPr>
        <w:t xml:space="preserve">: Reusing the legacy CAG mechanism for handover of UEs between </w:t>
      </w:r>
      <w:r w:rsidRPr="0014110B">
        <w:rPr>
          <w:rFonts w:ascii="Times New Roman" w:eastAsia="宋体" w:hAnsi="Times New Roman" w:cs="Times New Roman"/>
          <w:b/>
          <w:bCs/>
          <w:kern w:val="0"/>
          <w:sz w:val="20"/>
          <w:szCs w:val="20"/>
        </w:rPr>
        <w:t>Non-</w:t>
      </w:r>
      <w:r w:rsidR="00F80FC6">
        <w:rPr>
          <w:rFonts w:ascii="Times New Roman" w:eastAsia="宋体" w:hAnsi="Times New Roman" w:cs="Times New Roman"/>
          <w:b/>
          <w:bCs/>
          <w:kern w:val="0"/>
          <w:sz w:val="20"/>
          <w:szCs w:val="20"/>
        </w:rPr>
        <w:t>NR</w:t>
      </w:r>
      <w:r w:rsidRPr="0014110B">
        <w:rPr>
          <w:rFonts w:ascii="Times New Roman" w:eastAsia="宋体" w:hAnsi="Times New Roman" w:cs="Times New Roman"/>
          <w:b/>
          <w:bCs/>
          <w:kern w:val="0"/>
          <w:sz w:val="20"/>
          <w:szCs w:val="20"/>
        </w:rPr>
        <w:t>-</w:t>
      </w:r>
      <w:proofErr w:type="spellStart"/>
      <w:r w:rsidRPr="0014110B">
        <w:rPr>
          <w:rFonts w:ascii="Times New Roman" w:eastAsia="宋体" w:hAnsi="Times New Roman" w:cs="Times New Roman"/>
          <w:b/>
          <w:bCs/>
          <w:kern w:val="0"/>
          <w:sz w:val="20"/>
          <w:szCs w:val="20"/>
        </w:rPr>
        <w:t>Femto</w:t>
      </w:r>
      <w:proofErr w:type="spellEnd"/>
      <w:r w:rsidRPr="0014110B">
        <w:rPr>
          <w:rFonts w:ascii="Times New Roman" w:eastAsia="宋体" w:hAnsi="Times New Roman" w:cs="Times New Roman"/>
          <w:b/>
          <w:bCs/>
          <w:kern w:val="0"/>
          <w:sz w:val="20"/>
          <w:szCs w:val="20"/>
        </w:rPr>
        <w:t xml:space="preserve"> cell and </w:t>
      </w:r>
      <w:r w:rsidR="000F1C49">
        <w:rPr>
          <w:rFonts w:ascii="Times New Roman" w:eastAsia="宋体" w:hAnsi="Times New Roman" w:cs="Times New Roman"/>
          <w:b/>
          <w:bCs/>
          <w:kern w:val="0"/>
          <w:sz w:val="20"/>
          <w:szCs w:val="20"/>
        </w:rPr>
        <w:t xml:space="preserve">NR </w:t>
      </w:r>
      <w:proofErr w:type="spellStart"/>
      <w:r w:rsidR="000F1C49">
        <w:rPr>
          <w:rFonts w:ascii="Times New Roman" w:eastAsia="宋体" w:hAnsi="Times New Roman" w:cs="Times New Roman"/>
          <w:b/>
          <w:bCs/>
          <w:kern w:val="0"/>
          <w:sz w:val="20"/>
          <w:szCs w:val="20"/>
        </w:rPr>
        <w:t>Femto</w:t>
      </w:r>
      <w:proofErr w:type="spellEnd"/>
      <w:r w:rsidRPr="0014110B">
        <w:rPr>
          <w:rFonts w:ascii="Times New Roman" w:eastAsia="宋体" w:hAnsi="Times New Roman" w:cs="Times New Roman"/>
          <w:b/>
          <w:bCs/>
          <w:kern w:val="0"/>
          <w:sz w:val="20"/>
          <w:szCs w:val="20"/>
        </w:rPr>
        <w:t xml:space="preserve"> cell</w:t>
      </w:r>
      <w:r w:rsidRPr="00AD186C">
        <w:rPr>
          <w:rFonts w:ascii="Times New Roman" w:eastAsia="宋体" w:hAnsi="Times New Roman" w:cs="Times New Roman"/>
          <w:b/>
          <w:bCs/>
          <w:kern w:val="0"/>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52A8B3E" w14:textId="590D2E37" w:rsidR="007B7383" w:rsidRDefault="00E97D94"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2FD21AF8" w14:textId="024BE765" w:rsidR="00FA41BB" w:rsidRDefault="00FA41BB" w:rsidP="00004FF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RAN3 #</w:t>
      </w:r>
      <w:r w:rsidR="00004FF4">
        <w:rPr>
          <w:rFonts w:ascii="Times New Roman" w:eastAsia="宋体" w:hAnsi="Times New Roman" w:cs="Times New Roman"/>
          <w:kern w:val="0"/>
          <w:sz w:val="20"/>
          <w:lang w:val="x-none"/>
        </w:rPr>
        <w:t>123bis.</w:t>
      </w:r>
    </w:p>
    <w:p w14:paraId="5560FC50" w14:textId="3E0D0745" w:rsidR="00EF187B" w:rsidRDefault="00F6118B" w:rsidP="00F6118B">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F6118B">
        <w:rPr>
          <w:rFonts w:ascii="Times New Roman" w:eastAsia="宋体" w:hAnsi="Times New Roman" w:cs="Times New Roman"/>
          <w:kern w:val="0"/>
          <w:sz w:val="20"/>
          <w:lang w:val="x-none"/>
        </w:rPr>
        <w:lastRenderedPageBreak/>
        <w:t>3GPP TR 23.830</w:t>
      </w:r>
      <w:r>
        <w:rPr>
          <w:rFonts w:ascii="Times New Roman" w:eastAsia="宋体" w:hAnsi="Times New Roman" w:cs="Times New Roman"/>
          <w:kern w:val="0"/>
          <w:sz w:val="20"/>
          <w:lang w:val="x-none"/>
        </w:rPr>
        <w:t xml:space="preserve">. </w:t>
      </w:r>
      <w:r w:rsidRPr="00F6118B">
        <w:rPr>
          <w:rFonts w:ascii="Times New Roman" w:eastAsia="宋体" w:hAnsi="Times New Roman" w:cs="Times New Roman"/>
          <w:kern w:val="0"/>
          <w:sz w:val="20"/>
          <w:lang w:val="x-none"/>
        </w:rPr>
        <w:t xml:space="preserve">Architecture aspects of Home </w:t>
      </w:r>
      <w:proofErr w:type="spellStart"/>
      <w:r w:rsidRPr="00F6118B">
        <w:rPr>
          <w:rFonts w:ascii="Times New Roman" w:eastAsia="宋体" w:hAnsi="Times New Roman" w:cs="Times New Roman"/>
          <w:kern w:val="0"/>
          <w:sz w:val="20"/>
          <w:lang w:val="x-none"/>
        </w:rPr>
        <w:t>NodeB</w:t>
      </w:r>
      <w:proofErr w:type="spellEnd"/>
      <w:r w:rsidRPr="00F6118B">
        <w:rPr>
          <w:rFonts w:ascii="Times New Roman" w:eastAsia="宋体" w:hAnsi="Times New Roman" w:cs="Times New Roman"/>
          <w:kern w:val="0"/>
          <w:sz w:val="20"/>
          <w:lang w:val="x-none"/>
        </w:rPr>
        <w:t xml:space="preserve"> and Home </w:t>
      </w:r>
      <w:proofErr w:type="spellStart"/>
      <w:r w:rsidRPr="00F6118B">
        <w:rPr>
          <w:rFonts w:ascii="Times New Roman" w:eastAsia="宋体" w:hAnsi="Times New Roman" w:cs="Times New Roman"/>
          <w:kern w:val="0"/>
          <w:sz w:val="20"/>
          <w:lang w:val="x-none"/>
        </w:rPr>
        <w:t>eNodeB</w:t>
      </w:r>
      <w:proofErr w:type="spellEnd"/>
      <w:r w:rsidR="009F47B2">
        <w:rPr>
          <w:rFonts w:ascii="Times New Roman" w:eastAsia="宋体" w:hAnsi="Times New Roman" w:cs="Times New Roman"/>
          <w:kern w:val="0"/>
          <w:sz w:val="20"/>
          <w:lang w:val="x-none"/>
        </w:rPr>
        <w:t>.</w:t>
      </w:r>
    </w:p>
    <w:p w14:paraId="7704EE2C" w14:textId="0E7F6FE3" w:rsidR="00485AD4" w:rsidRPr="009F47B2" w:rsidRDefault="009F47B2"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9F47B2">
        <w:rPr>
          <w:rFonts w:ascii="Times New Roman" w:eastAsia="宋体" w:hAnsi="Times New Roman" w:cs="Times New Roman"/>
          <w:kern w:val="0"/>
          <w:sz w:val="20"/>
          <w:lang w:val="x-none"/>
        </w:rPr>
        <w:t>3GPP TS 23.501</w:t>
      </w:r>
      <w:r>
        <w:rPr>
          <w:rFonts w:ascii="Times New Roman" w:eastAsia="宋体" w:hAnsi="Times New Roman" w:cs="Times New Roman"/>
          <w:kern w:val="0"/>
          <w:sz w:val="20"/>
          <w:lang w:val="x-none"/>
        </w:rPr>
        <w:t xml:space="preserve">. </w:t>
      </w:r>
      <w:r w:rsidRPr="009F47B2">
        <w:rPr>
          <w:rFonts w:ascii="Times New Roman" w:eastAsia="宋体" w:hAnsi="Times New Roman" w:cs="Times New Roman"/>
          <w:kern w:val="0"/>
          <w:sz w:val="20"/>
          <w:lang w:val="x-none"/>
        </w:rPr>
        <w:t>System architecture for the 5G System (5GS);</w:t>
      </w:r>
      <w:r>
        <w:rPr>
          <w:rFonts w:ascii="Times New Roman" w:eastAsia="宋体" w:hAnsi="Times New Roman" w:cs="Times New Roman" w:hint="eastAsia"/>
          <w:kern w:val="0"/>
          <w:sz w:val="20"/>
          <w:lang w:val="x-none"/>
        </w:rPr>
        <w:t xml:space="preserve"> </w:t>
      </w:r>
      <w:r w:rsidRPr="009F47B2">
        <w:rPr>
          <w:rFonts w:ascii="Times New Roman" w:eastAsia="宋体" w:hAnsi="Times New Roman" w:cs="Times New Roman"/>
          <w:kern w:val="0"/>
          <w:sz w:val="20"/>
          <w:lang w:val="x-none"/>
        </w:rPr>
        <w:t>Stage 2</w:t>
      </w:r>
      <w:r>
        <w:rPr>
          <w:rFonts w:ascii="Times New Roman" w:eastAsia="宋体" w:hAnsi="Times New Roman" w:cs="Times New Roman"/>
          <w:kern w:val="0"/>
          <w:sz w:val="20"/>
          <w:lang w:val="x-none"/>
        </w:rPr>
        <w:t>.</w:t>
      </w:r>
    </w:p>
    <w:sectPr w:rsidR="00485AD4" w:rsidRPr="009F47B2"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0E8E" w14:textId="77777777" w:rsidR="00F224F8" w:rsidRDefault="00F224F8" w:rsidP="00AA3FAE">
      <w:r>
        <w:separator/>
      </w:r>
    </w:p>
  </w:endnote>
  <w:endnote w:type="continuationSeparator" w:id="0">
    <w:p w14:paraId="47D8543B" w14:textId="77777777" w:rsidR="00F224F8" w:rsidRDefault="00F224F8"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FBBF" w14:textId="77777777" w:rsidR="00F224F8" w:rsidRDefault="00F224F8" w:rsidP="00AA3FAE">
      <w:r>
        <w:separator/>
      </w:r>
    </w:p>
  </w:footnote>
  <w:footnote w:type="continuationSeparator" w:id="0">
    <w:p w14:paraId="27571CCC" w14:textId="77777777" w:rsidR="00F224F8" w:rsidRDefault="00F224F8"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0"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5"/>
  </w:num>
  <w:num w:numId="3" w16cid:durableId="1866753295">
    <w:abstractNumId w:val="6"/>
  </w:num>
  <w:num w:numId="4" w16cid:durableId="85273210">
    <w:abstractNumId w:val="9"/>
  </w:num>
  <w:num w:numId="5" w16cid:durableId="394473741">
    <w:abstractNumId w:val="0"/>
  </w:num>
  <w:num w:numId="6" w16cid:durableId="1185901937">
    <w:abstractNumId w:val="1"/>
  </w:num>
  <w:num w:numId="7" w16cid:durableId="829835607">
    <w:abstractNumId w:val="10"/>
  </w:num>
  <w:num w:numId="8" w16cid:durableId="1018387535">
    <w:abstractNumId w:val="3"/>
  </w:num>
  <w:num w:numId="9" w16cid:durableId="1758676206">
    <w:abstractNumId w:val="7"/>
  </w:num>
  <w:num w:numId="10" w16cid:durableId="1667636920">
    <w:abstractNumId w:val="4"/>
  </w:num>
  <w:num w:numId="11" w16cid:durableId="15039790">
    <w:abstractNumId w:val="9"/>
  </w:num>
  <w:num w:numId="12" w16cid:durableId="1361584663">
    <w:abstractNumId w:val="9"/>
  </w:num>
  <w:num w:numId="13" w16cid:durableId="125855758">
    <w:abstractNumId w:val="9"/>
  </w:num>
  <w:num w:numId="14" w16cid:durableId="312833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113"/>
    <w:rsid w:val="000021CA"/>
    <w:rsid w:val="000024F1"/>
    <w:rsid w:val="00003904"/>
    <w:rsid w:val="0000431F"/>
    <w:rsid w:val="00004FF4"/>
    <w:rsid w:val="00006F15"/>
    <w:rsid w:val="0000703A"/>
    <w:rsid w:val="00010B22"/>
    <w:rsid w:val="00011F5D"/>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E9E"/>
    <w:rsid w:val="000664F5"/>
    <w:rsid w:val="0006683B"/>
    <w:rsid w:val="00067403"/>
    <w:rsid w:val="000700EE"/>
    <w:rsid w:val="00070D39"/>
    <w:rsid w:val="000714DF"/>
    <w:rsid w:val="00072D31"/>
    <w:rsid w:val="0007335E"/>
    <w:rsid w:val="00074B1C"/>
    <w:rsid w:val="00074E79"/>
    <w:rsid w:val="0007544B"/>
    <w:rsid w:val="00082040"/>
    <w:rsid w:val="00083ECB"/>
    <w:rsid w:val="00084B41"/>
    <w:rsid w:val="00086B95"/>
    <w:rsid w:val="000874BB"/>
    <w:rsid w:val="00095520"/>
    <w:rsid w:val="00096792"/>
    <w:rsid w:val="0009781A"/>
    <w:rsid w:val="000A0A57"/>
    <w:rsid w:val="000A136B"/>
    <w:rsid w:val="000A18DF"/>
    <w:rsid w:val="000A3D7E"/>
    <w:rsid w:val="000A5F76"/>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79E4"/>
    <w:rsid w:val="000E0797"/>
    <w:rsid w:val="000E0AF2"/>
    <w:rsid w:val="000E24D5"/>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4D1D"/>
    <w:rsid w:val="00145DD8"/>
    <w:rsid w:val="00146C65"/>
    <w:rsid w:val="00150863"/>
    <w:rsid w:val="001510A8"/>
    <w:rsid w:val="00152CA4"/>
    <w:rsid w:val="0015328D"/>
    <w:rsid w:val="0015523D"/>
    <w:rsid w:val="001556FC"/>
    <w:rsid w:val="00155F87"/>
    <w:rsid w:val="00157AC5"/>
    <w:rsid w:val="0016033B"/>
    <w:rsid w:val="00161A1A"/>
    <w:rsid w:val="001623DF"/>
    <w:rsid w:val="001641B4"/>
    <w:rsid w:val="00164B13"/>
    <w:rsid w:val="00167182"/>
    <w:rsid w:val="00170CC1"/>
    <w:rsid w:val="0017256C"/>
    <w:rsid w:val="00172D96"/>
    <w:rsid w:val="00172EAD"/>
    <w:rsid w:val="0017587A"/>
    <w:rsid w:val="001778F0"/>
    <w:rsid w:val="001847E8"/>
    <w:rsid w:val="00185448"/>
    <w:rsid w:val="00190FAF"/>
    <w:rsid w:val="0019486E"/>
    <w:rsid w:val="0019499C"/>
    <w:rsid w:val="00196620"/>
    <w:rsid w:val="00197613"/>
    <w:rsid w:val="001A1855"/>
    <w:rsid w:val="001A2383"/>
    <w:rsid w:val="001A260F"/>
    <w:rsid w:val="001A38C6"/>
    <w:rsid w:val="001A44C7"/>
    <w:rsid w:val="001B11AE"/>
    <w:rsid w:val="001B2663"/>
    <w:rsid w:val="001B31AB"/>
    <w:rsid w:val="001C0436"/>
    <w:rsid w:val="001C0F1D"/>
    <w:rsid w:val="001C3355"/>
    <w:rsid w:val="001C3A1E"/>
    <w:rsid w:val="001C41B0"/>
    <w:rsid w:val="001C54A5"/>
    <w:rsid w:val="001D18F3"/>
    <w:rsid w:val="001D1A86"/>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6BD5"/>
    <w:rsid w:val="00277010"/>
    <w:rsid w:val="00277CCA"/>
    <w:rsid w:val="00281EF8"/>
    <w:rsid w:val="00283294"/>
    <w:rsid w:val="00286C7E"/>
    <w:rsid w:val="002911DE"/>
    <w:rsid w:val="0029202E"/>
    <w:rsid w:val="00292747"/>
    <w:rsid w:val="00292940"/>
    <w:rsid w:val="00292BFC"/>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30B4"/>
    <w:rsid w:val="002C41B0"/>
    <w:rsid w:val="002C6DA5"/>
    <w:rsid w:val="002D1DCD"/>
    <w:rsid w:val="002D370E"/>
    <w:rsid w:val="002D68AD"/>
    <w:rsid w:val="002D6B18"/>
    <w:rsid w:val="002D6F0D"/>
    <w:rsid w:val="002D7E30"/>
    <w:rsid w:val="002E166E"/>
    <w:rsid w:val="002E2E3D"/>
    <w:rsid w:val="002E2FB7"/>
    <w:rsid w:val="002E3135"/>
    <w:rsid w:val="002E3ABE"/>
    <w:rsid w:val="002E3F52"/>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2351"/>
    <w:rsid w:val="003124DA"/>
    <w:rsid w:val="003169C7"/>
    <w:rsid w:val="0031760A"/>
    <w:rsid w:val="003179AD"/>
    <w:rsid w:val="0032136B"/>
    <w:rsid w:val="0032255E"/>
    <w:rsid w:val="0032317B"/>
    <w:rsid w:val="00324B30"/>
    <w:rsid w:val="003266D9"/>
    <w:rsid w:val="0033243A"/>
    <w:rsid w:val="00335331"/>
    <w:rsid w:val="0033630B"/>
    <w:rsid w:val="00340F49"/>
    <w:rsid w:val="00341F62"/>
    <w:rsid w:val="00343D32"/>
    <w:rsid w:val="0035034A"/>
    <w:rsid w:val="00351B06"/>
    <w:rsid w:val="003521C3"/>
    <w:rsid w:val="00355DD7"/>
    <w:rsid w:val="00356EB9"/>
    <w:rsid w:val="0036074B"/>
    <w:rsid w:val="00362F2C"/>
    <w:rsid w:val="0036486D"/>
    <w:rsid w:val="00364AC3"/>
    <w:rsid w:val="003658C5"/>
    <w:rsid w:val="00366F84"/>
    <w:rsid w:val="00371B3B"/>
    <w:rsid w:val="003728F6"/>
    <w:rsid w:val="00373427"/>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A2A"/>
    <w:rsid w:val="003A5582"/>
    <w:rsid w:val="003A5735"/>
    <w:rsid w:val="003A65A3"/>
    <w:rsid w:val="003B170E"/>
    <w:rsid w:val="003B4C4B"/>
    <w:rsid w:val="003B6157"/>
    <w:rsid w:val="003C0F48"/>
    <w:rsid w:val="003C172B"/>
    <w:rsid w:val="003C333E"/>
    <w:rsid w:val="003C49ED"/>
    <w:rsid w:val="003C5E04"/>
    <w:rsid w:val="003C5E86"/>
    <w:rsid w:val="003C6CEF"/>
    <w:rsid w:val="003D0D01"/>
    <w:rsid w:val="003D283B"/>
    <w:rsid w:val="003D4BCF"/>
    <w:rsid w:val="003D535D"/>
    <w:rsid w:val="003E1FD8"/>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5D56"/>
    <w:rsid w:val="00415F3A"/>
    <w:rsid w:val="00417185"/>
    <w:rsid w:val="00420583"/>
    <w:rsid w:val="0042629C"/>
    <w:rsid w:val="0042629F"/>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9275B"/>
    <w:rsid w:val="00492D36"/>
    <w:rsid w:val="00493281"/>
    <w:rsid w:val="004958CF"/>
    <w:rsid w:val="00496C05"/>
    <w:rsid w:val="004A0380"/>
    <w:rsid w:val="004A2636"/>
    <w:rsid w:val="004A2BF7"/>
    <w:rsid w:val="004A40B8"/>
    <w:rsid w:val="004A5CD9"/>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4EEC"/>
    <w:rsid w:val="00517291"/>
    <w:rsid w:val="005175C8"/>
    <w:rsid w:val="0052218C"/>
    <w:rsid w:val="005237AE"/>
    <w:rsid w:val="00524A84"/>
    <w:rsid w:val="00530F9F"/>
    <w:rsid w:val="00532DEC"/>
    <w:rsid w:val="00534219"/>
    <w:rsid w:val="005347E6"/>
    <w:rsid w:val="005355E0"/>
    <w:rsid w:val="00535D8C"/>
    <w:rsid w:val="005404E1"/>
    <w:rsid w:val="00542A22"/>
    <w:rsid w:val="00546C53"/>
    <w:rsid w:val="005508EC"/>
    <w:rsid w:val="00550D47"/>
    <w:rsid w:val="005516DB"/>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39B2"/>
    <w:rsid w:val="00595DA8"/>
    <w:rsid w:val="005A0141"/>
    <w:rsid w:val="005A02B8"/>
    <w:rsid w:val="005A6844"/>
    <w:rsid w:val="005A7AB9"/>
    <w:rsid w:val="005A7B59"/>
    <w:rsid w:val="005B1AAC"/>
    <w:rsid w:val="005B216A"/>
    <w:rsid w:val="005B2E3D"/>
    <w:rsid w:val="005B35C4"/>
    <w:rsid w:val="005B4B3A"/>
    <w:rsid w:val="005B58A7"/>
    <w:rsid w:val="005B7597"/>
    <w:rsid w:val="005C0817"/>
    <w:rsid w:val="005C0D8A"/>
    <w:rsid w:val="005C2982"/>
    <w:rsid w:val="005C49AB"/>
    <w:rsid w:val="005C5B2A"/>
    <w:rsid w:val="005C686B"/>
    <w:rsid w:val="005C6B58"/>
    <w:rsid w:val="005C6EEA"/>
    <w:rsid w:val="005D003D"/>
    <w:rsid w:val="005D017E"/>
    <w:rsid w:val="005D1AED"/>
    <w:rsid w:val="005D5C6C"/>
    <w:rsid w:val="005E197D"/>
    <w:rsid w:val="005E555C"/>
    <w:rsid w:val="005E5569"/>
    <w:rsid w:val="005E799B"/>
    <w:rsid w:val="005E7BCB"/>
    <w:rsid w:val="005F0923"/>
    <w:rsid w:val="005F1212"/>
    <w:rsid w:val="00600820"/>
    <w:rsid w:val="00602419"/>
    <w:rsid w:val="00603FD4"/>
    <w:rsid w:val="006040E0"/>
    <w:rsid w:val="00604CC3"/>
    <w:rsid w:val="00605573"/>
    <w:rsid w:val="00607C4A"/>
    <w:rsid w:val="00612ED9"/>
    <w:rsid w:val="00613B43"/>
    <w:rsid w:val="00613DDF"/>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167F"/>
    <w:rsid w:val="006418EE"/>
    <w:rsid w:val="006424C4"/>
    <w:rsid w:val="006447C8"/>
    <w:rsid w:val="006479A2"/>
    <w:rsid w:val="00653585"/>
    <w:rsid w:val="00661C15"/>
    <w:rsid w:val="00662469"/>
    <w:rsid w:val="00662CC3"/>
    <w:rsid w:val="006660AB"/>
    <w:rsid w:val="00666EA1"/>
    <w:rsid w:val="006678FC"/>
    <w:rsid w:val="00670C46"/>
    <w:rsid w:val="006749D1"/>
    <w:rsid w:val="00675FFD"/>
    <w:rsid w:val="006804B4"/>
    <w:rsid w:val="00682CE1"/>
    <w:rsid w:val="00682D3F"/>
    <w:rsid w:val="0068320E"/>
    <w:rsid w:val="00683F4C"/>
    <w:rsid w:val="00684A40"/>
    <w:rsid w:val="00687018"/>
    <w:rsid w:val="00687312"/>
    <w:rsid w:val="00687695"/>
    <w:rsid w:val="006916A2"/>
    <w:rsid w:val="00692330"/>
    <w:rsid w:val="00694EC0"/>
    <w:rsid w:val="00696348"/>
    <w:rsid w:val="00696619"/>
    <w:rsid w:val="00696F0C"/>
    <w:rsid w:val="006A2113"/>
    <w:rsid w:val="006A3137"/>
    <w:rsid w:val="006A3783"/>
    <w:rsid w:val="006A53D6"/>
    <w:rsid w:val="006B0FE9"/>
    <w:rsid w:val="006B1416"/>
    <w:rsid w:val="006C0CE7"/>
    <w:rsid w:val="006C12C9"/>
    <w:rsid w:val="006C1E84"/>
    <w:rsid w:val="006C20A7"/>
    <w:rsid w:val="006C374D"/>
    <w:rsid w:val="006C38B0"/>
    <w:rsid w:val="006C50A7"/>
    <w:rsid w:val="006C567D"/>
    <w:rsid w:val="006C616C"/>
    <w:rsid w:val="006C6455"/>
    <w:rsid w:val="006D1314"/>
    <w:rsid w:val="006D1A36"/>
    <w:rsid w:val="006D2AEE"/>
    <w:rsid w:val="006D398E"/>
    <w:rsid w:val="006D5547"/>
    <w:rsid w:val="006D6F3D"/>
    <w:rsid w:val="006E2238"/>
    <w:rsid w:val="006E2F17"/>
    <w:rsid w:val="006E3B4C"/>
    <w:rsid w:val="006E5566"/>
    <w:rsid w:val="006E5A0A"/>
    <w:rsid w:val="006E7CED"/>
    <w:rsid w:val="006E7E8D"/>
    <w:rsid w:val="006F15A1"/>
    <w:rsid w:val="006F178B"/>
    <w:rsid w:val="006F2D45"/>
    <w:rsid w:val="006F4525"/>
    <w:rsid w:val="006F4BBB"/>
    <w:rsid w:val="006F50AC"/>
    <w:rsid w:val="006F59E6"/>
    <w:rsid w:val="007028FB"/>
    <w:rsid w:val="00703BAA"/>
    <w:rsid w:val="00705A56"/>
    <w:rsid w:val="0070723A"/>
    <w:rsid w:val="00707369"/>
    <w:rsid w:val="00715902"/>
    <w:rsid w:val="00715DE9"/>
    <w:rsid w:val="0071674C"/>
    <w:rsid w:val="007209B0"/>
    <w:rsid w:val="00726A33"/>
    <w:rsid w:val="00730BC7"/>
    <w:rsid w:val="00732AEF"/>
    <w:rsid w:val="00737853"/>
    <w:rsid w:val="00742CDA"/>
    <w:rsid w:val="00744083"/>
    <w:rsid w:val="007452B6"/>
    <w:rsid w:val="00750B0A"/>
    <w:rsid w:val="00751641"/>
    <w:rsid w:val="0075185D"/>
    <w:rsid w:val="0075187D"/>
    <w:rsid w:val="0075356E"/>
    <w:rsid w:val="00756B5D"/>
    <w:rsid w:val="007614CF"/>
    <w:rsid w:val="00761B08"/>
    <w:rsid w:val="0076637F"/>
    <w:rsid w:val="00766B27"/>
    <w:rsid w:val="0076720C"/>
    <w:rsid w:val="00770C1B"/>
    <w:rsid w:val="00780AEB"/>
    <w:rsid w:val="00780F22"/>
    <w:rsid w:val="0078172C"/>
    <w:rsid w:val="00782506"/>
    <w:rsid w:val="00783942"/>
    <w:rsid w:val="007846F4"/>
    <w:rsid w:val="00785418"/>
    <w:rsid w:val="00785462"/>
    <w:rsid w:val="00790ED3"/>
    <w:rsid w:val="007A0A93"/>
    <w:rsid w:val="007A4241"/>
    <w:rsid w:val="007A72AB"/>
    <w:rsid w:val="007A772F"/>
    <w:rsid w:val="007A7E72"/>
    <w:rsid w:val="007B0265"/>
    <w:rsid w:val="007B1116"/>
    <w:rsid w:val="007B19E5"/>
    <w:rsid w:val="007B2F30"/>
    <w:rsid w:val="007B3E4D"/>
    <w:rsid w:val="007B47C9"/>
    <w:rsid w:val="007B5A8B"/>
    <w:rsid w:val="007B634D"/>
    <w:rsid w:val="007B6D38"/>
    <w:rsid w:val="007B6E47"/>
    <w:rsid w:val="007B7383"/>
    <w:rsid w:val="007C1161"/>
    <w:rsid w:val="007C3555"/>
    <w:rsid w:val="007C47A7"/>
    <w:rsid w:val="007C4A72"/>
    <w:rsid w:val="007C796E"/>
    <w:rsid w:val="007D06AC"/>
    <w:rsid w:val="007D0EB2"/>
    <w:rsid w:val="007D2B81"/>
    <w:rsid w:val="007D588A"/>
    <w:rsid w:val="007D68D5"/>
    <w:rsid w:val="007E1B20"/>
    <w:rsid w:val="007E1EA7"/>
    <w:rsid w:val="007E2FA0"/>
    <w:rsid w:val="007E66DF"/>
    <w:rsid w:val="007F1D60"/>
    <w:rsid w:val="007F2A4D"/>
    <w:rsid w:val="007F2E5B"/>
    <w:rsid w:val="007F3F1C"/>
    <w:rsid w:val="007F5BE8"/>
    <w:rsid w:val="007F7980"/>
    <w:rsid w:val="007F7AF7"/>
    <w:rsid w:val="007F7D93"/>
    <w:rsid w:val="00801644"/>
    <w:rsid w:val="00801E4E"/>
    <w:rsid w:val="00803784"/>
    <w:rsid w:val="00805FD9"/>
    <w:rsid w:val="00807049"/>
    <w:rsid w:val="00811326"/>
    <w:rsid w:val="008130AB"/>
    <w:rsid w:val="00813C06"/>
    <w:rsid w:val="00817F1B"/>
    <w:rsid w:val="0082054F"/>
    <w:rsid w:val="00832BE1"/>
    <w:rsid w:val="00835D29"/>
    <w:rsid w:val="00840375"/>
    <w:rsid w:val="00840B57"/>
    <w:rsid w:val="00841070"/>
    <w:rsid w:val="0084197E"/>
    <w:rsid w:val="00850360"/>
    <w:rsid w:val="00850670"/>
    <w:rsid w:val="00851A97"/>
    <w:rsid w:val="008522C2"/>
    <w:rsid w:val="00853907"/>
    <w:rsid w:val="00854F35"/>
    <w:rsid w:val="008556D7"/>
    <w:rsid w:val="00855DE9"/>
    <w:rsid w:val="008619F7"/>
    <w:rsid w:val="00864DEE"/>
    <w:rsid w:val="00865F65"/>
    <w:rsid w:val="00866AD7"/>
    <w:rsid w:val="00866ED3"/>
    <w:rsid w:val="00870252"/>
    <w:rsid w:val="008714A7"/>
    <w:rsid w:val="00871CAE"/>
    <w:rsid w:val="00880BB8"/>
    <w:rsid w:val="00881EEB"/>
    <w:rsid w:val="0088224B"/>
    <w:rsid w:val="00882801"/>
    <w:rsid w:val="00885223"/>
    <w:rsid w:val="0088742B"/>
    <w:rsid w:val="00887EAA"/>
    <w:rsid w:val="0089062B"/>
    <w:rsid w:val="0089705F"/>
    <w:rsid w:val="008974CD"/>
    <w:rsid w:val="008A0CE7"/>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902ED4"/>
    <w:rsid w:val="00904546"/>
    <w:rsid w:val="00906767"/>
    <w:rsid w:val="00907B5B"/>
    <w:rsid w:val="00907D66"/>
    <w:rsid w:val="009113BD"/>
    <w:rsid w:val="00912EF8"/>
    <w:rsid w:val="009150D1"/>
    <w:rsid w:val="00916168"/>
    <w:rsid w:val="009174F1"/>
    <w:rsid w:val="00922240"/>
    <w:rsid w:val="00924649"/>
    <w:rsid w:val="00924FF3"/>
    <w:rsid w:val="009259CA"/>
    <w:rsid w:val="00925F4D"/>
    <w:rsid w:val="00926DCD"/>
    <w:rsid w:val="00930102"/>
    <w:rsid w:val="00932D3E"/>
    <w:rsid w:val="00937A13"/>
    <w:rsid w:val="00943A26"/>
    <w:rsid w:val="00943A28"/>
    <w:rsid w:val="00944C84"/>
    <w:rsid w:val="00945820"/>
    <w:rsid w:val="00946729"/>
    <w:rsid w:val="00952028"/>
    <w:rsid w:val="0095297E"/>
    <w:rsid w:val="00953570"/>
    <w:rsid w:val="009551A9"/>
    <w:rsid w:val="00956E73"/>
    <w:rsid w:val="00957C7B"/>
    <w:rsid w:val="009626B1"/>
    <w:rsid w:val="00962DC7"/>
    <w:rsid w:val="00963112"/>
    <w:rsid w:val="009659D8"/>
    <w:rsid w:val="00966288"/>
    <w:rsid w:val="00966454"/>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C24"/>
    <w:rsid w:val="009C59EA"/>
    <w:rsid w:val="009C6DD1"/>
    <w:rsid w:val="009C7F3D"/>
    <w:rsid w:val="009D47C1"/>
    <w:rsid w:val="009D52B4"/>
    <w:rsid w:val="009D6168"/>
    <w:rsid w:val="009D6382"/>
    <w:rsid w:val="009D761B"/>
    <w:rsid w:val="009E0834"/>
    <w:rsid w:val="009E1C01"/>
    <w:rsid w:val="009E3EC1"/>
    <w:rsid w:val="009E44BA"/>
    <w:rsid w:val="009E4AD9"/>
    <w:rsid w:val="009E4D5F"/>
    <w:rsid w:val="009E506A"/>
    <w:rsid w:val="009E707E"/>
    <w:rsid w:val="009E7474"/>
    <w:rsid w:val="009E7C4C"/>
    <w:rsid w:val="009F1156"/>
    <w:rsid w:val="009F1E23"/>
    <w:rsid w:val="009F1F4A"/>
    <w:rsid w:val="009F32C2"/>
    <w:rsid w:val="009F47B2"/>
    <w:rsid w:val="00A03296"/>
    <w:rsid w:val="00A035AE"/>
    <w:rsid w:val="00A04D91"/>
    <w:rsid w:val="00A11000"/>
    <w:rsid w:val="00A13989"/>
    <w:rsid w:val="00A1547A"/>
    <w:rsid w:val="00A16F17"/>
    <w:rsid w:val="00A2110E"/>
    <w:rsid w:val="00A218C1"/>
    <w:rsid w:val="00A21C09"/>
    <w:rsid w:val="00A24144"/>
    <w:rsid w:val="00A24E34"/>
    <w:rsid w:val="00A26AC4"/>
    <w:rsid w:val="00A26D85"/>
    <w:rsid w:val="00A26E1D"/>
    <w:rsid w:val="00A27064"/>
    <w:rsid w:val="00A34A2D"/>
    <w:rsid w:val="00A35B56"/>
    <w:rsid w:val="00A3620A"/>
    <w:rsid w:val="00A37406"/>
    <w:rsid w:val="00A45B7F"/>
    <w:rsid w:val="00A46452"/>
    <w:rsid w:val="00A51D78"/>
    <w:rsid w:val="00A53E8A"/>
    <w:rsid w:val="00A601A2"/>
    <w:rsid w:val="00A60302"/>
    <w:rsid w:val="00A61E82"/>
    <w:rsid w:val="00A63D75"/>
    <w:rsid w:val="00A644BA"/>
    <w:rsid w:val="00A661E2"/>
    <w:rsid w:val="00A71889"/>
    <w:rsid w:val="00A72582"/>
    <w:rsid w:val="00A7646E"/>
    <w:rsid w:val="00A765AC"/>
    <w:rsid w:val="00A77D6B"/>
    <w:rsid w:val="00A81646"/>
    <w:rsid w:val="00A84D97"/>
    <w:rsid w:val="00A85027"/>
    <w:rsid w:val="00A85366"/>
    <w:rsid w:val="00A93291"/>
    <w:rsid w:val="00A933F5"/>
    <w:rsid w:val="00A95C67"/>
    <w:rsid w:val="00A964D1"/>
    <w:rsid w:val="00A96846"/>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27CC"/>
    <w:rsid w:val="00AE371C"/>
    <w:rsid w:val="00AE4ACB"/>
    <w:rsid w:val="00AF05F2"/>
    <w:rsid w:val="00AF10B8"/>
    <w:rsid w:val="00AF252F"/>
    <w:rsid w:val="00AF330A"/>
    <w:rsid w:val="00AF3722"/>
    <w:rsid w:val="00AF4491"/>
    <w:rsid w:val="00AF5140"/>
    <w:rsid w:val="00AF6A2C"/>
    <w:rsid w:val="00AF7716"/>
    <w:rsid w:val="00B0062A"/>
    <w:rsid w:val="00B05ADF"/>
    <w:rsid w:val="00B06DA9"/>
    <w:rsid w:val="00B11D7F"/>
    <w:rsid w:val="00B124D8"/>
    <w:rsid w:val="00B15927"/>
    <w:rsid w:val="00B173B2"/>
    <w:rsid w:val="00B204E7"/>
    <w:rsid w:val="00B2364A"/>
    <w:rsid w:val="00B25314"/>
    <w:rsid w:val="00B26539"/>
    <w:rsid w:val="00B26673"/>
    <w:rsid w:val="00B30652"/>
    <w:rsid w:val="00B30954"/>
    <w:rsid w:val="00B328E2"/>
    <w:rsid w:val="00B33EE7"/>
    <w:rsid w:val="00B34B5A"/>
    <w:rsid w:val="00B37B72"/>
    <w:rsid w:val="00B40018"/>
    <w:rsid w:val="00B403D4"/>
    <w:rsid w:val="00B43FC4"/>
    <w:rsid w:val="00B447E6"/>
    <w:rsid w:val="00B46699"/>
    <w:rsid w:val="00B54FE2"/>
    <w:rsid w:val="00B61E64"/>
    <w:rsid w:val="00B61EB7"/>
    <w:rsid w:val="00B624D4"/>
    <w:rsid w:val="00B64FDC"/>
    <w:rsid w:val="00B673C0"/>
    <w:rsid w:val="00B70880"/>
    <w:rsid w:val="00B72A52"/>
    <w:rsid w:val="00B73FC6"/>
    <w:rsid w:val="00B74D0D"/>
    <w:rsid w:val="00B75AB0"/>
    <w:rsid w:val="00B77462"/>
    <w:rsid w:val="00B82736"/>
    <w:rsid w:val="00B83738"/>
    <w:rsid w:val="00B8705B"/>
    <w:rsid w:val="00B87F6F"/>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6541"/>
    <w:rsid w:val="00BD7198"/>
    <w:rsid w:val="00BD738F"/>
    <w:rsid w:val="00BE0BE9"/>
    <w:rsid w:val="00BE22B6"/>
    <w:rsid w:val="00BE2ECF"/>
    <w:rsid w:val="00BE3F54"/>
    <w:rsid w:val="00BE5B79"/>
    <w:rsid w:val="00BF17A8"/>
    <w:rsid w:val="00BF29CB"/>
    <w:rsid w:val="00BF33F7"/>
    <w:rsid w:val="00BF3EB7"/>
    <w:rsid w:val="00BF6DFF"/>
    <w:rsid w:val="00C00903"/>
    <w:rsid w:val="00C00D6D"/>
    <w:rsid w:val="00C01CFE"/>
    <w:rsid w:val="00C01F59"/>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79F5"/>
    <w:rsid w:val="00C27EF7"/>
    <w:rsid w:val="00C31487"/>
    <w:rsid w:val="00C330D5"/>
    <w:rsid w:val="00C33490"/>
    <w:rsid w:val="00C33EEF"/>
    <w:rsid w:val="00C34B6D"/>
    <w:rsid w:val="00C3753F"/>
    <w:rsid w:val="00C447AC"/>
    <w:rsid w:val="00C4505E"/>
    <w:rsid w:val="00C453F5"/>
    <w:rsid w:val="00C45DB2"/>
    <w:rsid w:val="00C53D68"/>
    <w:rsid w:val="00C5473D"/>
    <w:rsid w:val="00C56199"/>
    <w:rsid w:val="00C60385"/>
    <w:rsid w:val="00C607C0"/>
    <w:rsid w:val="00C6569A"/>
    <w:rsid w:val="00C70687"/>
    <w:rsid w:val="00C7223F"/>
    <w:rsid w:val="00C72915"/>
    <w:rsid w:val="00C85269"/>
    <w:rsid w:val="00C92F7E"/>
    <w:rsid w:val="00C9525E"/>
    <w:rsid w:val="00C9727F"/>
    <w:rsid w:val="00C975EA"/>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5A61"/>
    <w:rsid w:val="00CC614A"/>
    <w:rsid w:val="00CD08CB"/>
    <w:rsid w:val="00CD1838"/>
    <w:rsid w:val="00CD3CA4"/>
    <w:rsid w:val="00CD5BFB"/>
    <w:rsid w:val="00CD79A8"/>
    <w:rsid w:val="00CE123B"/>
    <w:rsid w:val="00CE2122"/>
    <w:rsid w:val="00CE3103"/>
    <w:rsid w:val="00CE4BFE"/>
    <w:rsid w:val="00CE53D9"/>
    <w:rsid w:val="00CE5C9C"/>
    <w:rsid w:val="00CF01E9"/>
    <w:rsid w:val="00CF056C"/>
    <w:rsid w:val="00CF1634"/>
    <w:rsid w:val="00CF481F"/>
    <w:rsid w:val="00CF4D2F"/>
    <w:rsid w:val="00CF620B"/>
    <w:rsid w:val="00CF6C69"/>
    <w:rsid w:val="00CF77A9"/>
    <w:rsid w:val="00D01ED1"/>
    <w:rsid w:val="00D026EC"/>
    <w:rsid w:val="00D04CF3"/>
    <w:rsid w:val="00D0612D"/>
    <w:rsid w:val="00D06997"/>
    <w:rsid w:val="00D06F0F"/>
    <w:rsid w:val="00D1011E"/>
    <w:rsid w:val="00D104F6"/>
    <w:rsid w:val="00D10A73"/>
    <w:rsid w:val="00D13343"/>
    <w:rsid w:val="00D15970"/>
    <w:rsid w:val="00D16A9A"/>
    <w:rsid w:val="00D17D74"/>
    <w:rsid w:val="00D21F3F"/>
    <w:rsid w:val="00D224C9"/>
    <w:rsid w:val="00D24968"/>
    <w:rsid w:val="00D27582"/>
    <w:rsid w:val="00D27A09"/>
    <w:rsid w:val="00D32202"/>
    <w:rsid w:val="00D33843"/>
    <w:rsid w:val="00D355CC"/>
    <w:rsid w:val="00D418AD"/>
    <w:rsid w:val="00D461C3"/>
    <w:rsid w:val="00D51E3A"/>
    <w:rsid w:val="00D523ED"/>
    <w:rsid w:val="00D52619"/>
    <w:rsid w:val="00D54D25"/>
    <w:rsid w:val="00D54D42"/>
    <w:rsid w:val="00D57255"/>
    <w:rsid w:val="00D62523"/>
    <w:rsid w:val="00D626EF"/>
    <w:rsid w:val="00D65253"/>
    <w:rsid w:val="00D66FA2"/>
    <w:rsid w:val="00D67F2F"/>
    <w:rsid w:val="00D72997"/>
    <w:rsid w:val="00D746BD"/>
    <w:rsid w:val="00D75166"/>
    <w:rsid w:val="00D75373"/>
    <w:rsid w:val="00D7562B"/>
    <w:rsid w:val="00D764EB"/>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21C1"/>
    <w:rsid w:val="00DC331A"/>
    <w:rsid w:val="00DC4568"/>
    <w:rsid w:val="00DD042C"/>
    <w:rsid w:val="00DD07BD"/>
    <w:rsid w:val="00DD0FB8"/>
    <w:rsid w:val="00DD16C3"/>
    <w:rsid w:val="00DD4C3D"/>
    <w:rsid w:val="00DD60E2"/>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147F"/>
    <w:rsid w:val="00E24BB0"/>
    <w:rsid w:val="00E24C6B"/>
    <w:rsid w:val="00E2698B"/>
    <w:rsid w:val="00E27BBF"/>
    <w:rsid w:val="00E305E7"/>
    <w:rsid w:val="00E32A30"/>
    <w:rsid w:val="00E32A84"/>
    <w:rsid w:val="00E33406"/>
    <w:rsid w:val="00E3698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798F"/>
    <w:rsid w:val="00E67E0B"/>
    <w:rsid w:val="00E67F67"/>
    <w:rsid w:val="00E7071A"/>
    <w:rsid w:val="00E76EEA"/>
    <w:rsid w:val="00E7751B"/>
    <w:rsid w:val="00E808A2"/>
    <w:rsid w:val="00E809E7"/>
    <w:rsid w:val="00E876B0"/>
    <w:rsid w:val="00E90079"/>
    <w:rsid w:val="00E92EB2"/>
    <w:rsid w:val="00E97D94"/>
    <w:rsid w:val="00EA073B"/>
    <w:rsid w:val="00EA55A0"/>
    <w:rsid w:val="00EA60C0"/>
    <w:rsid w:val="00EA73E5"/>
    <w:rsid w:val="00EB3664"/>
    <w:rsid w:val="00EB388A"/>
    <w:rsid w:val="00EB3AF7"/>
    <w:rsid w:val="00EB6BC0"/>
    <w:rsid w:val="00EC1BD3"/>
    <w:rsid w:val="00EC5AA3"/>
    <w:rsid w:val="00EC701E"/>
    <w:rsid w:val="00ED2423"/>
    <w:rsid w:val="00ED74D3"/>
    <w:rsid w:val="00ED770A"/>
    <w:rsid w:val="00EE0005"/>
    <w:rsid w:val="00EE07F2"/>
    <w:rsid w:val="00EE2B0A"/>
    <w:rsid w:val="00EE3198"/>
    <w:rsid w:val="00EE31DA"/>
    <w:rsid w:val="00EE4080"/>
    <w:rsid w:val="00EE7EFE"/>
    <w:rsid w:val="00EF187B"/>
    <w:rsid w:val="00EF57C9"/>
    <w:rsid w:val="00F01478"/>
    <w:rsid w:val="00F0297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322B"/>
    <w:rsid w:val="00F53C11"/>
    <w:rsid w:val="00F56AEB"/>
    <w:rsid w:val="00F60B35"/>
    <w:rsid w:val="00F6118B"/>
    <w:rsid w:val="00F6131B"/>
    <w:rsid w:val="00F61D17"/>
    <w:rsid w:val="00F67B2B"/>
    <w:rsid w:val="00F7451E"/>
    <w:rsid w:val="00F76832"/>
    <w:rsid w:val="00F77D76"/>
    <w:rsid w:val="00F80B45"/>
    <w:rsid w:val="00F80FC6"/>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3C7F"/>
    <w:rsid w:val="00FC5406"/>
    <w:rsid w:val="00FC739B"/>
    <w:rsid w:val="00FC7B7A"/>
    <w:rsid w:val="00FC7F73"/>
    <w:rsid w:val="00FD075D"/>
    <w:rsid w:val="00FD1A08"/>
    <w:rsid w:val="00FD222B"/>
    <w:rsid w:val="00FD2BD9"/>
    <w:rsid w:val="00FD44EF"/>
    <w:rsid w:val="00FD491E"/>
    <w:rsid w:val="00FD6192"/>
    <w:rsid w:val="00FD63F8"/>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ocked/>
    <w:rsid w:val="005063F8"/>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7425</TotalTime>
  <Pages>3</Pages>
  <Words>949</Words>
  <Characters>5413</Characters>
  <Application>Microsoft Office Word</Application>
  <DocSecurity>0</DocSecurity>
  <Lines>45</Lines>
  <Paragraphs>12</Paragraphs>
  <ScaleCrop>false</ScaleCrop>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Yibin-2</cp:lastModifiedBy>
  <cp:revision>1215</cp:revision>
  <dcterms:created xsi:type="dcterms:W3CDTF">2021-01-15T00:45:00Z</dcterms:created>
  <dcterms:modified xsi:type="dcterms:W3CDTF">2024-05-10T02:23:00Z</dcterms:modified>
</cp:coreProperties>
</file>